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59BC3" w14:textId="18BE85F1" w:rsidR="001B7C72" w:rsidRPr="001B7C72" w:rsidRDefault="001B7C72" w:rsidP="001B7C72">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0" w:name="OLE_LINK17"/>
      <w:r w:rsidRPr="001B7C72">
        <w:rPr>
          <w:rFonts w:ascii="Arial" w:eastAsia="MS Mincho" w:hAnsi="Arial"/>
          <w:b/>
          <w:sz w:val="24"/>
          <w:szCs w:val="24"/>
          <w:lang w:val="de-DE" w:eastAsia="x-none"/>
        </w:rPr>
        <w:t>3GPP TSG-RAN WG2 Meeting #123bis</w:t>
      </w:r>
      <w:r w:rsidRPr="001B7C72">
        <w:rPr>
          <w:rFonts w:ascii="Arial" w:eastAsia="MS Mincho" w:hAnsi="Arial"/>
          <w:b/>
          <w:sz w:val="24"/>
          <w:szCs w:val="24"/>
          <w:lang w:val="de-DE" w:eastAsia="x-none"/>
        </w:rPr>
        <w:tab/>
      </w:r>
      <w:r w:rsidR="00CE69AA" w:rsidRPr="00CE69AA">
        <w:rPr>
          <w:rFonts w:ascii="Arial" w:eastAsia="MS Mincho" w:hAnsi="Arial"/>
          <w:b/>
          <w:sz w:val="24"/>
          <w:szCs w:val="24"/>
          <w:lang w:val="de-DE" w:eastAsia="x-none"/>
        </w:rPr>
        <w:t>R2-2310049</w:t>
      </w:r>
    </w:p>
    <w:p w14:paraId="126556D1" w14:textId="77777777" w:rsidR="001B7C72" w:rsidRPr="001B7C72" w:rsidRDefault="001B7C72" w:rsidP="001B7C72">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1B7C72">
        <w:rPr>
          <w:rFonts w:ascii="Arial" w:eastAsia="MS Mincho" w:hAnsi="Arial"/>
          <w:b/>
          <w:sz w:val="24"/>
          <w:szCs w:val="24"/>
          <w:lang w:val="de-DE" w:eastAsia="x-none"/>
        </w:rPr>
        <w:t>Xiamen, China, October 9</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xml:space="preserve"> – 13</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2023</w:t>
      </w:r>
    </w:p>
    <w:p w14:paraId="5D93EDCC" w14:textId="77777777" w:rsidR="001B7C72" w:rsidRDefault="001B7C72">
      <w:pPr>
        <w:tabs>
          <w:tab w:val="left" w:pos="1979"/>
        </w:tabs>
        <w:spacing w:after="180" w:line="240" w:lineRule="auto"/>
        <w:rPr>
          <w:rFonts w:ascii="Arial" w:hAnsi="Arial" w:cs="Arial"/>
          <w:b/>
          <w:bCs/>
          <w:sz w:val="24"/>
          <w:lang w:val="de-DE" w:eastAsia="en-US"/>
        </w:rPr>
      </w:pPr>
    </w:p>
    <w:p w14:paraId="1CC08129" w14:textId="05711088"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D234C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sidR="00D234CA">
        <w:rPr>
          <w:rFonts w:ascii="Arial" w:hAnsi="Arial" w:cs="Arial"/>
          <w:b/>
          <w:bCs/>
          <w:sz w:val="24"/>
          <w:lang w:val="en-US"/>
        </w:rPr>
        <w:t>6</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37018FCB"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333903" w:rsidRPr="00333903">
        <w:rPr>
          <w:rFonts w:ascii="Arial" w:hAnsi="Arial" w:cs="Arial"/>
          <w:b/>
          <w:bCs/>
          <w:sz w:val="24"/>
          <w:lang w:val="en-US"/>
        </w:rPr>
        <w:t>Consideration on the SON enhancements for RACH report</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19B023B0" w:rsidR="001B23CC" w:rsidRDefault="006445BF">
      <w:pPr>
        <w:pStyle w:val="1"/>
      </w:pPr>
      <w:bookmarkStart w:id="1" w:name="_Ref165266342"/>
      <w:r>
        <w:t>Introduction</w:t>
      </w:r>
      <w:bookmarkEnd w:id="1"/>
    </w:p>
    <w:p w14:paraId="39522BE7" w14:textId="3734C39E" w:rsidR="008D0DDD" w:rsidRPr="00B636E4" w:rsidRDefault="008D0DDD" w:rsidP="008D0DDD">
      <w:pPr>
        <w:spacing w:line="360" w:lineRule="auto"/>
        <w:rPr>
          <w:rFonts w:asciiTheme="minorHAnsi" w:hAnsiTheme="minorHAnsi" w:cstheme="minorHAnsi"/>
          <w:szCs w:val="22"/>
          <w:lang w:val="en-US"/>
        </w:rPr>
      </w:pPr>
      <w:bookmarkStart w:id="2" w:name="OLE_LINK18"/>
      <w:r w:rsidRPr="00B636E4">
        <w:rPr>
          <w:rFonts w:asciiTheme="minorHAnsi" w:hAnsiTheme="minorHAnsi" w:cstheme="minorHAnsi"/>
          <w:szCs w:val="22"/>
          <w:lang w:val="en-US"/>
        </w:rPr>
        <w:t>In last meeting, we discussed ab</w:t>
      </w:r>
      <w:r w:rsidR="005C660C" w:rsidRPr="00B636E4">
        <w:rPr>
          <w:rFonts w:asciiTheme="minorHAnsi" w:hAnsiTheme="minorHAnsi" w:cstheme="minorHAnsi"/>
          <w:szCs w:val="22"/>
          <w:lang w:val="en-US"/>
        </w:rPr>
        <w:t>out the SON enhancement for RACH</w:t>
      </w:r>
      <w:r w:rsidRPr="00B636E4">
        <w:rPr>
          <w:rFonts w:asciiTheme="minorHAnsi" w:hAnsiTheme="minorHAnsi" w:cstheme="minorHAnsi"/>
          <w:szCs w:val="22"/>
          <w:lang w:val="en-US"/>
        </w:rPr>
        <w:t xml:space="preserve"> report</w:t>
      </w:r>
      <w:r w:rsidR="00616CC8">
        <w:rPr>
          <w:rFonts w:asciiTheme="minorHAnsi" w:hAnsiTheme="minorHAnsi" w:cstheme="minorHAnsi"/>
          <w:szCs w:val="22"/>
          <w:lang w:val="en-US"/>
        </w:rPr>
        <w:t xml:space="preserve"> and achieved the following agreements:</w:t>
      </w:r>
      <w:r w:rsidR="00BA6D53">
        <w:rPr>
          <w:rFonts w:asciiTheme="minorHAnsi" w:hAnsiTheme="minorHAnsi" w:cstheme="minorHAnsi"/>
          <w:szCs w:val="22"/>
          <w:lang w:val="en-US"/>
        </w:rPr>
        <w:t xml:space="preserve"> [1]</w:t>
      </w:r>
    </w:p>
    <w:p w14:paraId="62932D83"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Agreements:</w:t>
      </w:r>
    </w:p>
    <w:p w14:paraId="4345F4F3"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p>
    <w:p w14:paraId="6DD2D981"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 xml:space="preserve">1 At least the </w:t>
      </w:r>
      <w:bookmarkStart w:id="3" w:name="OLE_LINK2"/>
      <w:r w:rsidRPr="00EB0C11">
        <w:rPr>
          <w:rFonts w:asciiTheme="minorHAnsi" w:hAnsiTheme="minorHAnsi" w:cstheme="minorHAnsi"/>
          <w:sz w:val="22"/>
          <w:szCs w:val="22"/>
        </w:rPr>
        <w:t>NSAG ID that is assigned to the S-NSSAI triggering the RA attempt and belongs to the NSAG ID of the feature combination used to select the RA configuration</w:t>
      </w:r>
      <w:bookmarkEnd w:id="3"/>
      <w:r w:rsidRPr="00EB0C11">
        <w:rPr>
          <w:rFonts w:asciiTheme="minorHAnsi" w:hAnsiTheme="minorHAnsi" w:cstheme="minorHAnsi"/>
          <w:sz w:val="22"/>
          <w:szCs w:val="22"/>
        </w:rPr>
        <w:t xml:space="preserve"> should be reported.</w:t>
      </w:r>
    </w:p>
    <w:p w14:paraId="4CEF11CA"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p>
    <w:p w14:paraId="0A8A49D4"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2 Addition of an indication in RA report whether RA-SDT procedure is successful or not. Details of the indication and whether it is a single flag or further differentiation of the failure scenarios are needed are FFS.</w:t>
      </w:r>
    </w:p>
    <w:p w14:paraId="763EFC84"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p>
    <w:p w14:paraId="2BDE3A4D" w14:textId="0EAC792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FFS: Further discuss whether the following NSAG IDs to be included in the RA reports:</w:t>
      </w:r>
    </w:p>
    <w:p w14:paraId="589A6EA8" w14:textId="09B090CB"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a) NSAG ID(s) that belong to the S-NSSAI(s) triggering the RA attempt and included in SIB1 (even if they were not used to select the RA configuration, e.g., due to belonging to lower priority NSAGs).</w:t>
      </w:r>
    </w:p>
    <w:p w14:paraId="37941513"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b) NSAG ID(s) that belong to the S-NSSAI(s) triggering the RA attempt (even if they are not included in SIB1).</w:t>
      </w:r>
    </w:p>
    <w:p w14:paraId="46F93EE9" w14:textId="77777777"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p>
    <w:p w14:paraId="12B59574" w14:textId="55AF7FBE" w:rsidR="00EB0C11" w:rsidRPr="00EB0C11" w:rsidRDefault="00EB0C11" w:rsidP="008D58D0">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EB0C11">
        <w:rPr>
          <w:rFonts w:asciiTheme="minorHAnsi" w:hAnsiTheme="minorHAnsi" w:cstheme="minorHAnsi"/>
          <w:sz w:val="22"/>
          <w:szCs w:val="22"/>
        </w:rPr>
        <w:t>Postponed: RAN2 to discuss whether to include the priorities of the NSAG IDs either explicitly or implicitly.</w:t>
      </w:r>
    </w:p>
    <w:p w14:paraId="1132C5EB" w14:textId="5B3335F1" w:rsidR="003A16C8" w:rsidRPr="00EB0C11" w:rsidRDefault="00EB0C11" w:rsidP="008D58D0">
      <w:pPr>
        <w:pStyle w:val="Doc-text2"/>
        <w:pBdr>
          <w:top w:val="single" w:sz="4" w:space="1" w:color="auto"/>
          <w:left w:val="single" w:sz="4" w:space="4" w:color="auto"/>
          <w:bottom w:val="single" w:sz="4" w:space="1" w:color="auto"/>
          <w:right w:val="single" w:sz="4" w:space="4" w:color="auto"/>
        </w:pBdr>
        <w:ind w:left="363"/>
        <w:rPr>
          <w:sz w:val="22"/>
          <w:szCs w:val="22"/>
          <w:lang w:val="en-US"/>
        </w:rPr>
      </w:pPr>
      <w:r w:rsidRPr="00EB0C11">
        <w:rPr>
          <w:rFonts w:asciiTheme="minorHAnsi" w:hAnsiTheme="minorHAnsi" w:cstheme="minorHAnsi"/>
          <w:sz w:val="22"/>
          <w:szCs w:val="22"/>
        </w:rPr>
        <w:t>Postponed: RAN2 to discuss whether the UE reports the buffered data volume when RA-SDT procedure is triggered.</w:t>
      </w:r>
    </w:p>
    <w:p w14:paraId="3BECD095" w14:textId="0F4BB7FA" w:rsidR="00967114" w:rsidRPr="00DA76C3" w:rsidRDefault="008D0DDD" w:rsidP="00D31749">
      <w:pPr>
        <w:spacing w:beforeLines="100" w:before="240" w:line="360" w:lineRule="auto"/>
        <w:rPr>
          <w:rFonts w:asciiTheme="minorHAnsi" w:hAnsiTheme="minorHAnsi" w:cstheme="minorHAnsi"/>
          <w:szCs w:val="22"/>
          <w:lang w:val="en-US"/>
        </w:rPr>
      </w:pPr>
      <w:r w:rsidRPr="00B636E4">
        <w:rPr>
          <w:rFonts w:asciiTheme="minorHAnsi" w:hAnsiTheme="minorHAnsi" w:cstheme="minorHAnsi"/>
          <w:szCs w:val="22"/>
          <w:lang w:val="en-US"/>
        </w:rPr>
        <w:t>In this contribution, we provide our consideration</w:t>
      </w:r>
      <w:r w:rsidR="00D31749" w:rsidRPr="00B636E4">
        <w:rPr>
          <w:rFonts w:asciiTheme="minorHAnsi" w:hAnsiTheme="minorHAnsi" w:cstheme="minorHAnsi"/>
          <w:szCs w:val="22"/>
          <w:lang w:val="en-US"/>
        </w:rPr>
        <w:t>s</w:t>
      </w:r>
      <w:r w:rsidRPr="00B636E4">
        <w:rPr>
          <w:rFonts w:asciiTheme="minorHAnsi" w:hAnsiTheme="minorHAnsi" w:cstheme="minorHAnsi"/>
          <w:szCs w:val="22"/>
          <w:lang w:val="en-US"/>
        </w:rPr>
        <w:t xml:space="preserve"> on</w:t>
      </w:r>
      <w:r w:rsidR="00BB0F2F">
        <w:rPr>
          <w:rFonts w:asciiTheme="minorHAnsi" w:hAnsiTheme="minorHAnsi" w:cstheme="minorHAnsi"/>
          <w:szCs w:val="22"/>
          <w:lang w:val="en-US"/>
        </w:rPr>
        <w:t xml:space="preserve"> </w:t>
      </w:r>
      <w:r w:rsidR="00BB0F2F">
        <w:rPr>
          <w:rFonts w:asciiTheme="minorHAnsi" w:hAnsiTheme="minorHAnsi" w:cstheme="minorHAnsi" w:hint="eastAsia"/>
          <w:szCs w:val="22"/>
          <w:lang w:val="en-US"/>
        </w:rPr>
        <w:t>the</w:t>
      </w:r>
      <w:r w:rsidR="00BB0F2F">
        <w:rPr>
          <w:rFonts w:asciiTheme="minorHAnsi" w:hAnsiTheme="minorHAnsi" w:cstheme="minorHAnsi"/>
          <w:szCs w:val="22"/>
          <w:lang w:val="en-US"/>
        </w:rPr>
        <w:t xml:space="preserve"> </w:t>
      </w:r>
      <w:r w:rsidR="00106E92">
        <w:rPr>
          <w:rFonts w:asciiTheme="minorHAnsi" w:hAnsiTheme="minorHAnsi" w:cstheme="minorHAnsi"/>
          <w:szCs w:val="22"/>
          <w:lang w:val="en-US"/>
        </w:rPr>
        <w:t>leftover</w:t>
      </w:r>
      <w:r w:rsidR="00D31749" w:rsidRPr="00B636E4">
        <w:rPr>
          <w:rFonts w:asciiTheme="minorHAnsi" w:hAnsiTheme="minorHAnsi" w:cstheme="minorHAnsi"/>
          <w:szCs w:val="22"/>
          <w:lang w:val="en-US"/>
        </w:rPr>
        <w:t xml:space="preserve"> issues</w:t>
      </w:r>
      <w:r w:rsidR="00BB0F2F">
        <w:rPr>
          <w:rFonts w:asciiTheme="minorHAnsi" w:hAnsiTheme="minorHAnsi" w:cstheme="minorHAnsi"/>
          <w:szCs w:val="22"/>
          <w:lang w:val="en-US"/>
        </w:rPr>
        <w:t xml:space="preserve"> </w:t>
      </w:r>
      <w:r w:rsidR="00EF1809" w:rsidRPr="00B636E4">
        <w:rPr>
          <w:rFonts w:asciiTheme="minorHAnsi" w:hAnsiTheme="minorHAnsi" w:cstheme="minorHAnsi"/>
          <w:szCs w:val="22"/>
          <w:lang w:val="en-US"/>
        </w:rPr>
        <w:t xml:space="preserve">about SON enhancements for </w:t>
      </w:r>
      <w:r w:rsidR="00F147AC" w:rsidRPr="00B636E4">
        <w:rPr>
          <w:rFonts w:asciiTheme="minorHAnsi" w:hAnsiTheme="minorHAnsi" w:cstheme="minorHAnsi"/>
          <w:szCs w:val="22"/>
          <w:lang w:val="en-US"/>
        </w:rPr>
        <w:t>RACH repor</w:t>
      </w:r>
      <w:r w:rsidR="00261582" w:rsidRPr="00B636E4">
        <w:rPr>
          <w:rFonts w:asciiTheme="minorHAnsi" w:hAnsiTheme="minorHAnsi" w:cstheme="minorHAnsi"/>
          <w:szCs w:val="22"/>
          <w:lang w:val="en-US"/>
        </w:rPr>
        <w:t>t</w:t>
      </w:r>
      <w:r w:rsidR="00B7223B" w:rsidRPr="00B636E4">
        <w:rPr>
          <w:rFonts w:asciiTheme="minorHAnsi" w:hAnsiTheme="minorHAnsi" w:cstheme="minorHAnsi"/>
          <w:szCs w:val="22"/>
          <w:lang w:val="en-US"/>
        </w:rPr>
        <w:t>.</w:t>
      </w:r>
    </w:p>
    <w:p w14:paraId="6C0D2FE4" w14:textId="3DFAF704" w:rsidR="002A31B1" w:rsidRDefault="002A31B1" w:rsidP="00F60173">
      <w:pPr>
        <w:pStyle w:val="1"/>
      </w:pPr>
      <w:bookmarkStart w:id="4" w:name="OLE_LINK4"/>
      <w:bookmarkStart w:id="5" w:name="OLE_LINK8"/>
      <w:bookmarkStart w:id="6" w:name="OLE_LINK6"/>
      <w:bookmarkStart w:id="7" w:name="OLE_LINK3"/>
      <w:bookmarkEnd w:id="2"/>
      <w:r>
        <w:t>Discussion</w:t>
      </w:r>
    </w:p>
    <w:p w14:paraId="75C0DF70" w14:textId="77777777" w:rsidR="009444A9" w:rsidRPr="009444A9" w:rsidRDefault="009444A9" w:rsidP="009444A9">
      <w:pPr>
        <w:rPr>
          <w:rFonts w:asciiTheme="minorHAnsi" w:hAnsiTheme="minorHAnsi" w:cstheme="minorHAnsi"/>
          <w:b/>
          <w:i/>
          <w:color w:val="0070C0"/>
        </w:rPr>
      </w:pPr>
      <w:r w:rsidRPr="009444A9">
        <w:rPr>
          <w:rFonts w:asciiTheme="minorHAnsi" w:hAnsiTheme="minorHAnsi" w:cstheme="minorHAnsi"/>
          <w:b/>
          <w:i/>
          <w:color w:val="0070C0"/>
        </w:rPr>
        <w:t>FFS: Further discuss whether the following NSAG IDs to be included in the RA reports:</w:t>
      </w:r>
    </w:p>
    <w:p w14:paraId="0348C84C" w14:textId="77777777" w:rsidR="009444A9" w:rsidRPr="009444A9" w:rsidRDefault="009444A9" w:rsidP="009444A9">
      <w:pPr>
        <w:rPr>
          <w:rFonts w:asciiTheme="minorHAnsi" w:hAnsiTheme="minorHAnsi" w:cstheme="minorHAnsi"/>
          <w:b/>
          <w:i/>
          <w:color w:val="0070C0"/>
        </w:rPr>
      </w:pPr>
      <w:r w:rsidRPr="009444A9">
        <w:rPr>
          <w:rFonts w:asciiTheme="minorHAnsi" w:hAnsiTheme="minorHAnsi" w:cstheme="minorHAnsi"/>
          <w:b/>
          <w:i/>
          <w:color w:val="0070C0"/>
        </w:rPr>
        <w:t>a) NSAG ID(s) that belong to the S-NSSAI(s) triggering the RA attempt and included in SIB1 (even if they were not used to select the RA configuration, e.g., due to belonging to lower priority NSAGs).</w:t>
      </w:r>
    </w:p>
    <w:p w14:paraId="263D4D5E" w14:textId="1A38C1C9" w:rsidR="00C17FAC" w:rsidRPr="00DA76C3" w:rsidRDefault="009444A9" w:rsidP="009444A9">
      <w:pPr>
        <w:rPr>
          <w:rFonts w:asciiTheme="minorHAnsi" w:hAnsiTheme="minorHAnsi" w:cstheme="minorHAnsi"/>
          <w:b/>
          <w:i/>
          <w:color w:val="0070C0"/>
        </w:rPr>
      </w:pPr>
      <w:r w:rsidRPr="009444A9">
        <w:rPr>
          <w:rFonts w:asciiTheme="minorHAnsi" w:hAnsiTheme="minorHAnsi" w:cstheme="minorHAnsi"/>
          <w:b/>
          <w:i/>
          <w:color w:val="0070C0"/>
        </w:rPr>
        <w:t>b) NSAG ID(s) that belong to the S-NSSAI(s) triggering the RA attempt (even if they are not included in SIB1)</w:t>
      </w:r>
      <w:r w:rsidR="00C17FAC" w:rsidRPr="00DA76C3">
        <w:rPr>
          <w:rFonts w:asciiTheme="minorHAnsi" w:hAnsiTheme="minorHAnsi" w:cstheme="minorHAnsi"/>
          <w:b/>
          <w:i/>
          <w:color w:val="0070C0"/>
        </w:rPr>
        <w:t>.</w:t>
      </w:r>
    </w:p>
    <w:p w14:paraId="28EA9FDB" w14:textId="77777777" w:rsidR="00FB3BD9" w:rsidRDefault="00FB3BD9" w:rsidP="00750EC7">
      <w:pPr>
        <w:tabs>
          <w:tab w:val="left" w:pos="2020"/>
        </w:tabs>
        <w:rPr>
          <w:rFonts w:asciiTheme="minorHAnsi" w:hAnsiTheme="minorHAnsi" w:cstheme="minorHAnsi"/>
        </w:rPr>
      </w:pPr>
      <w:r w:rsidRPr="00FB3BD9">
        <w:rPr>
          <w:rFonts w:asciiTheme="minorHAnsi" w:hAnsiTheme="minorHAnsi" w:cstheme="minorHAnsi"/>
        </w:rPr>
        <w:t xml:space="preserve">In the last meeting, we agreed to include the NSAG used to select the RACH configuration into the RA report, i.e., the NSAG with the highest NSAG priority among the NSAGs included in SIB1. However, there is no consensus on whether to include other NSAGs, such as a) and b) listed above. In our view, including NSAGs </w:t>
      </w:r>
      <w:r w:rsidRPr="00FB3BD9">
        <w:rPr>
          <w:rFonts w:asciiTheme="minorHAnsi" w:hAnsiTheme="minorHAnsi" w:cstheme="minorHAnsi"/>
        </w:rPr>
        <w:lastRenderedPageBreak/>
        <w:t>other than the highest priority one is beneficial for the network to optimize the RACH configuration for NSAGs that do not have a higher priority or are not allocated with the RACH configuration but are required by the UE.</w:t>
      </w:r>
    </w:p>
    <w:p w14:paraId="0E07390D" w14:textId="0E5D773E" w:rsidR="00292A4A" w:rsidRDefault="00567544" w:rsidP="00292A4A">
      <w:pPr>
        <w:tabs>
          <w:tab w:val="left" w:pos="2020"/>
        </w:tabs>
        <w:rPr>
          <w:rFonts w:asciiTheme="minorHAnsi" w:hAnsiTheme="minorHAnsi" w:cstheme="minorHAnsi"/>
        </w:rPr>
      </w:pPr>
      <w:r w:rsidRPr="00567544">
        <w:rPr>
          <w:rFonts w:asciiTheme="minorHAnsi" w:hAnsiTheme="minorHAnsi" w:cstheme="minorHAnsi"/>
        </w:rPr>
        <w:t>Regarding a) and b) above, the only difference is whether to include SIB1 for filtering. Based on our previous understanding, SIB1 is necessary for NSAG filtering</w:t>
      </w:r>
      <w:r w:rsidR="00641509">
        <w:rPr>
          <w:rFonts w:asciiTheme="minorHAnsi" w:hAnsiTheme="minorHAnsi" w:cstheme="minorHAnsi"/>
        </w:rPr>
        <w:t>, as o</w:t>
      </w:r>
      <w:r w:rsidRPr="00567544">
        <w:rPr>
          <w:rFonts w:asciiTheme="minorHAnsi" w:hAnsiTheme="minorHAnsi" w:cstheme="minorHAnsi"/>
        </w:rPr>
        <w:t>therwise</w:t>
      </w:r>
      <w:r w:rsidR="00641509">
        <w:rPr>
          <w:rFonts w:asciiTheme="minorHAnsi" w:hAnsiTheme="minorHAnsi" w:cstheme="minorHAnsi"/>
        </w:rPr>
        <w:t xml:space="preserve"> </w:t>
      </w:r>
      <w:r w:rsidRPr="00567544">
        <w:rPr>
          <w:rFonts w:asciiTheme="minorHAnsi" w:hAnsiTheme="minorHAnsi" w:cstheme="minorHAnsi"/>
        </w:rPr>
        <w:t xml:space="preserve">the NSAG used for cell reselection may be reported incorrectly in the RA report to the network. However, </w:t>
      </w:r>
      <w:r>
        <w:rPr>
          <w:rFonts w:asciiTheme="minorHAnsi" w:hAnsiTheme="minorHAnsi" w:cstheme="minorHAnsi"/>
        </w:rPr>
        <w:t xml:space="preserve">as </w:t>
      </w:r>
      <w:r w:rsidRPr="00567544">
        <w:rPr>
          <w:rFonts w:asciiTheme="minorHAnsi" w:hAnsiTheme="minorHAnsi" w:cstheme="minorHAnsi"/>
        </w:rPr>
        <w:t>some companies concern</w:t>
      </w:r>
      <w:r>
        <w:rPr>
          <w:rFonts w:asciiTheme="minorHAnsi" w:hAnsiTheme="minorHAnsi" w:cstheme="minorHAnsi"/>
        </w:rPr>
        <w:t xml:space="preserve">ed, </w:t>
      </w:r>
      <w:r w:rsidR="00C744A3">
        <w:rPr>
          <w:rFonts w:asciiTheme="minorHAnsi" w:hAnsiTheme="minorHAnsi" w:cstheme="minorHAnsi"/>
        </w:rPr>
        <w:t xml:space="preserve">if </w:t>
      </w:r>
      <w:r w:rsidR="00153D51">
        <w:rPr>
          <w:rFonts w:asciiTheme="minorHAnsi" w:hAnsiTheme="minorHAnsi" w:cstheme="minorHAnsi"/>
        </w:rPr>
        <w:t>we</w:t>
      </w:r>
      <w:r w:rsidR="00C744A3">
        <w:rPr>
          <w:rFonts w:asciiTheme="minorHAnsi" w:hAnsiTheme="minorHAnsi" w:cstheme="minorHAnsi"/>
        </w:rPr>
        <w:t xml:space="preserve"> have SIB1 for filtering, </w:t>
      </w:r>
      <w:r w:rsidRPr="00567544">
        <w:rPr>
          <w:rFonts w:asciiTheme="minorHAnsi" w:hAnsiTheme="minorHAnsi" w:cstheme="minorHAnsi"/>
        </w:rPr>
        <w:t>the NSAG associated with the S-NSSAI triggering the RACH procedure but not configured with RACH configuration</w:t>
      </w:r>
      <w:r w:rsidR="00C744A3">
        <w:rPr>
          <w:rFonts w:asciiTheme="minorHAnsi" w:hAnsiTheme="minorHAnsi" w:cstheme="minorHAnsi"/>
        </w:rPr>
        <w:t xml:space="preserve"> will be filtered and network will never be aware of or consider it for the RACH configuration optimization.</w:t>
      </w:r>
      <w:r w:rsidR="005F57B3">
        <w:rPr>
          <w:rFonts w:asciiTheme="minorHAnsi" w:hAnsiTheme="minorHAnsi" w:cstheme="minorHAnsi"/>
        </w:rPr>
        <w:t xml:space="preserve"> From this point of view, not to use the SIB1 for filtering is reasonable and acceptable for us. </w:t>
      </w:r>
    </w:p>
    <w:p w14:paraId="1C941A1A" w14:textId="2771B895" w:rsidR="00D1413D" w:rsidRDefault="00D1413D" w:rsidP="00292A4A">
      <w:pPr>
        <w:tabs>
          <w:tab w:val="left" w:pos="2020"/>
        </w:tabs>
        <w:rPr>
          <w:rFonts w:asciiTheme="minorHAnsi" w:hAnsiTheme="minorHAnsi" w:cstheme="minorHAnsi"/>
          <w:b/>
          <w:bCs/>
        </w:rPr>
      </w:pPr>
      <w:r w:rsidRPr="00C672BB">
        <w:rPr>
          <w:rFonts w:asciiTheme="minorHAnsi" w:hAnsiTheme="minorHAnsi" w:cstheme="minorHAnsi" w:hint="eastAsia"/>
          <w:b/>
          <w:bCs/>
        </w:rPr>
        <w:t>O</w:t>
      </w:r>
      <w:r w:rsidRPr="00C672BB">
        <w:rPr>
          <w:rFonts w:asciiTheme="minorHAnsi" w:hAnsiTheme="minorHAnsi" w:cstheme="minorHAnsi"/>
          <w:b/>
          <w:bCs/>
        </w:rPr>
        <w:t>bservation</w:t>
      </w:r>
      <w:r w:rsidR="00595FF2">
        <w:rPr>
          <w:rFonts w:asciiTheme="minorHAnsi" w:hAnsiTheme="minorHAnsi" w:cstheme="minorHAnsi"/>
          <w:b/>
          <w:bCs/>
        </w:rPr>
        <w:t xml:space="preserve"> 1</w:t>
      </w:r>
      <w:r w:rsidRPr="00C672BB">
        <w:rPr>
          <w:rFonts w:asciiTheme="minorHAnsi" w:hAnsiTheme="minorHAnsi" w:cstheme="minorHAnsi"/>
          <w:b/>
          <w:bCs/>
        </w:rPr>
        <w:t>: If the SIB1 is used for filtering, the NSAG associated with the S-NSSAI triggering the RACH procedure but not configured with RACH configuration will never be known and considered by network.</w:t>
      </w:r>
    </w:p>
    <w:p w14:paraId="7E1F2E1D" w14:textId="77777777" w:rsidR="0083478A" w:rsidRDefault="00701402" w:rsidP="00292A4A">
      <w:pPr>
        <w:tabs>
          <w:tab w:val="left" w:pos="2020"/>
        </w:tabs>
        <w:rPr>
          <w:rFonts w:asciiTheme="minorHAnsi" w:hAnsiTheme="minorHAnsi" w:cstheme="minorHAnsi"/>
          <w:lang w:val="en-US"/>
        </w:rPr>
      </w:pPr>
      <w:r w:rsidRPr="00701402">
        <w:rPr>
          <w:rFonts w:asciiTheme="minorHAnsi" w:hAnsiTheme="minorHAnsi" w:cstheme="minorHAnsi"/>
          <w:lang w:val="en-US"/>
        </w:rPr>
        <w:t xml:space="preserve">As for </w:t>
      </w:r>
      <w:r w:rsidR="00A80CF0">
        <w:rPr>
          <w:rFonts w:asciiTheme="minorHAnsi" w:hAnsiTheme="minorHAnsi" w:cstheme="minorHAnsi"/>
          <w:lang w:val="en-US"/>
        </w:rPr>
        <w:t>how to ensure</w:t>
      </w:r>
      <w:r w:rsidRPr="00701402">
        <w:rPr>
          <w:rFonts w:asciiTheme="minorHAnsi" w:hAnsiTheme="minorHAnsi" w:cstheme="minorHAnsi"/>
          <w:lang w:val="en-US"/>
        </w:rPr>
        <w:t xml:space="preserve"> </w:t>
      </w:r>
      <w:r w:rsidR="00C36A82">
        <w:rPr>
          <w:rFonts w:asciiTheme="minorHAnsi" w:hAnsiTheme="minorHAnsi" w:cstheme="minorHAnsi"/>
          <w:lang w:val="en-US"/>
        </w:rPr>
        <w:t>the</w:t>
      </w:r>
      <w:r w:rsidRPr="00701402">
        <w:rPr>
          <w:rFonts w:asciiTheme="minorHAnsi" w:hAnsiTheme="minorHAnsi" w:cstheme="minorHAnsi"/>
          <w:lang w:val="en-US"/>
        </w:rPr>
        <w:t xml:space="preserve"> NSAG is for the RACH procedure without SIB1 filtering, </w:t>
      </w:r>
      <w:r w:rsidR="0083478A">
        <w:rPr>
          <w:rFonts w:asciiTheme="minorHAnsi" w:hAnsiTheme="minorHAnsi" w:cstheme="minorHAnsi"/>
          <w:lang w:val="en-US"/>
        </w:rPr>
        <w:t>the following options can be considered:</w:t>
      </w:r>
    </w:p>
    <w:p w14:paraId="7BAF5744" w14:textId="77777777" w:rsidR="0083478A" w:rsidRPr="003C26B9" w:rsidRDefault="0083478A" w:rsidP="00292A4A">
      <w:pPr>
        <w:tabs>
          <w:tab w:val="left" w:pos="2020"/>
        </w:tabs>
        <w:rPr>
          <w:rFonts w:asciiTheme="minorHAnsi" w:hAnsiTheme="minorHAnsi" w:cstheme="minorHAnsi"/>
          <w:b/>
          <w:bCs/>
          <w:u w:val="single"/>
          <w:lang w:val="en-US"/>
        </w:rPr>
      </w:pPr>
      <w:r w:rsidRPr="003C26B9">
        <w:rPr>
          <w:rFonts w:asciiTheme="minorHAnsi" w:hAnsiTheme="minorHAnsi" w:cstheme="minorHAnsi"/>
          <w:b/>
          <w:bCs/>
          <w:u w:val="single"/>
          <w:lang w:val="en-US"/>
        </w:rPr>
        <w:t>Option1: Network based NSAG filtering.</w:t>
      </w:r>
    </w:p>
    <w:p w14:paraId="45E6AEF5" w14:textId="47195308" w:rsidR="00FF26EE" w:rsidRDefault="00DD3F45" w:rsidP="00292A4A">
      <w:pPr>
        <w:tabs>
          <w:tab w:val="left" w:pos="2020"/>
        </w:tabs>
        <w:rPr>
          <w:rFonts w:asciiTheme="minorHAnsi" w:hAnsiTheme="minorHAnsi" w:cstheme="minorHAnsi"/>
          <w:lang w:val="en-US"/>
        </w:rPr>
      </w:pPr>
      <w:r>
        <w:rPr>
          <w:rFonts w:asciiTheme="minorHAnsi" w:hAnsiTheme="minorHAnsi" w:cstheme="minorHAnsi"/>
          <w:lang w:val="en-US"/>
        </w:rPr>
        <w:t>T</w:t>
      </w:r>
      <w:r w:rsidR="00701402" w:rsidRPr="00701402">
        <w:rPr>
          <w:rFonts w:asciiTheme="minorHAnsi" w:hAnsiTheme="minorHAnsi" w:cstheme="minorHAnsi"/>
          <w:lang w:val="en-US"/>
        </w:rPr>
        <w:t>he mapping relationship for cell reselection or the RACH procedure is fundamentally determined by NG-RAN</w:t>
      </w:r>
      <w:r w:rsidR="00641509">
        <w:rPr>
          <w:rFonts w:asciiTheme="minorHAnsi" w:hAnsiTheme="minorHAnsi" w:cstheme="minorHAnsi"/>
          <w:lang w:val="en-US"/>
        </w:rPr>
        <w:t xml:space="preserve">, so that the NSAG filtering can be left to </w:t>
      </w:r>
      <w:r w:rsidR="00641509">
        <w:rPr>
          <w:rFonts w:asciiTheme="minorHAnsi" w:hAnsiTheme="minorHAnsi" w:cstheme="minorHAnsi" w:hint="eastAsia"/>
          <w:lang w:val="en-US"/>
        </w:rPr>
        <w:t>network</w:t>
      </w:r>
      <w:r w:rsidR="00641509">
        <w:rPr>
          <w:rFonts w:asciiTheme="minorHAnsi" w:hAnsiTheme="minorHAnsi" w:cstheme="minorHAnsi"/>
          <w:lang w:val="en-US"/>
        </w:rPr>
        <w:t xml:space="preserve"> implementation. In other words</w:t>
      </w:r>
      <w:r>
        <w:rPr>
          <w:rFonts w:asciiTheme="minorHAnsi" w:hAnsiTheme="minorHAnsi" w:cstheme="minorHAnsi"/>
          <w:lang w:val="en-US"/>
        </w:rPr>
        <w:t xml:space="preserve">, the </w:t>
      </w:r>
      <w:r w:rsidR="00925AA0">
        <w:rPr>
          <w:rFonts w:asciiTheme="minorHAnsi" w:hAnsiTheme="minorHAnsi" w:cstheme="minorHAnsi"/>
          <w:lang w:val="en-US"/>
        </w:rPr>
        <w:t>UE can report any NSAG which is associated with the S-NSSAI triggering the RA attempt,</w:t>
      </w:r>
      <w:r w:rsidR="00BC5285">
        <w:rPr>
          <w:rFonts w:asciiTheme="minorHAnsi" w:hAnsiTheme="minorHAnsi" w:cstheme="minorHAnsi"/>
          <w:lang w:val="en-US"/>
        </w:rPr>
        <w:t xml:space="preserve"> and </w:t>
      </w:r>
      <w:r w:rsidR="00925AA0">
        <w:rPr>
          <w:rFonts w:asciiTheme="minorHAnsi" w:hAnsiTheme="minorHAnsi" w:cstheme="minorHAnsi"/>
          <w:lang w:val="en-US"/>
        </w:rPr>
        <w:t xml:space="preserve">NG-RAN can identity whether the NSAG is for RACH or cell reselection based on the configuration of the NSAG mapping relationship. </w:t>
      </w:r>
    </w:p>
    <w:p w14:paraId="2C7C9709" w14:textId="768643F8" w:rsidR="00FD3206" w:rsidRDefault="00BC5285" w:rsidP="00292A4A">
      <w:pPr>
        <w:tabs>
          <w:tab w:val="left" w:pos="2020"/>
        </w:tabs>
        <w:rPr>
          <w:rFonts w:asciiTheme="minorHAnsi" w:hAnsiTheme="minorHAnsi" w:cstheme="minorHAnsi"/>
          <w:lang w:val="en-US"/>
        </w:rPr>
      </w:pPr>
      <w:r>
        <w:rPr>
          <w:rFonts w:asciiTheme="minorHAnsi" w:hAnsiTheme="minorHAnsi" w:cstheme="minorHAnsi"/>
          <w:lang w:val="en-US"/>
        </w:rPr>
        <w:t>Furtherly, as</w:t>
      </w:r>
      <w:r w:rsidR="00925AA0">
        <w:rPr>
          <w:rFonts w:asciiTheme="minorHAnsi" w:hAnsiTheme="minorHAnsi" w:cstheme="minorHAnsi"/>
          <w:lang w:val="en-US"/>
        </w:rPr>
        <w:t xml:space="preserve"> the </w:t>
      </w:r>
      <w:r w:rsidR="00925AA0">
        <w:rPr>
          <w:rFonts w:asciiTheme="minorHAnsi" w:hAnsiTheme="minorHAnsi" w:cstheme="minorHAnsi" w:hint="eastAsia"/>
          <w:lang w:val="en-US"/>
        </w:rPr>
        <w:t>conf</w:t>
      </w:r>
      <w:r w:rsidR="00925AA0">
        <w:rPr>
          <w:rFonts w:asciiTheme="minorHAnsi" w:hAnsiTheme="minorHAnsi" w:cstheme="minorHAnsi"/>
          <w:lang w:val="en-US"/>
        </w:rPr>
        <w:t xml:space="preserve">iguration may be changed after </w:t>
      </w:r>
      <w:r w:rsidR="00730B8C">
        <w:rPr>
          <w:rFonts w:asciiTheme="minorHAnsi" w:hAnsiTheme="minorHAnsi" w:cstheme="minorHAnsi"/>
          <w:lang w:val="en-US"/>
        </w:rPr>
        <w:t>the RACH procedure is triggered</w:t>
      </w:r>
      <w:r w:rsidR="00757411">
        <w:rPr>
          <w:rFonts w:asciiTheme="minorHAnsi" w:hAnsiTheme="minorHAnsi" w:cstheme="minorHAnsi"/>
          <w:lang w:val="en-US"/>
        </w:rPr>
        <w:t xml:space="preserve">, </w:t>
      </w:r>
      <w:r w:rsidR="00F12053">
        <w:rPr>
          <w:rFonts w:asciiTheme="minorHAnsi" w:hAnsiTheme="minorHAnsi" w:cstheme="minorHAnsi" w:hint="eastAsia"/>
          <w:lang w:val="en-US"/>
        </w:rPr>
        <w:t>i</w:t>
      </w:r>
      <w:r w:rsidR="00F12053">
        <w:rPr>
          <w:rFonts w:asciiTheme="minorHAnsi" w:hAnsiTheme="minorHAnsi" w:cstheme="minorHAnsi"/>
          <w:lang w:val="en-US"/>
        </w:rPr>
        <w:t xml:space="preserve">t seems that </w:t>
      </w:r>
      <w:r w:rsidR="00C36A82">
        <w:rPr>
          <w:rFonts w:asciiTheme="minorHAnsi" w:hAnsiTheme="minorHAnsi" w:cstheme="minorHAnsi"/>
          <w:lang w:val="en-US"/>
        </w:rPr>
        <w:t xml:space="preserve">UE </w:t>
      </w:r>
      <w:r w:rsidR="002B6241">
        <w:rPr>
          <w:rFonts w:asciiTheme="minorHAnsi" w:hAnsiTheme="minorHAnsi" w:cstheme="minorHAnsi"/>
          <w:lang w:val="en-US"/>
        </w:rPr>
        <w:t>also needs to</w:t>
      </w:r>
      <w:r w:rsidR="00C36A82">
        <w:rPr>
          <w:rFonts w:asciiTheme="minorHAnsi" w:hAnsiTheme="minorHAnsi" w:cstheme="minorHAnsi"/>
          <w:lang w:val="en-US"/>
        </w:rPr>
        <w:t xml:space="preserve"> provide </w:t>
      </w:r>
      <w:r w:rsidR="00713C8D">
        <w:rPr>
          <w:rFonts w:asciiTheme="minorHAnsi" w:hAnsiTheme="minorHAnsi" w:cstheme="minorHAnsi"/>
          <w:lang w:val="en-US"/>
        </w:rPr>
        <w:t xml:space="preserve">the </w:t>
      </w:r>
      <w:r w:rsidR="00792BF2">
        <w:rPr>
          <w:rFonts w:asciiTheme="minorHAnsi" w:hAnsiTheme="minorHAnsi" w:cstheme="minorHAnsi"/>
          <w:lang w:val="en-US"/>
        </w:rPr>
        <w:t>additional</w:t>
      </w:r>
      <w:r w:rsidR="00C36A82">
        <w:rPr>
          <w:rFonts w:asciiTheme="minorHAnsi" w:hAnsiTheme="minorHAnsi" w:cstheme="minorHAnsi"/>
          <w:lang w:val="en-US"/>
        </w:rPr>
        <w:t xml:space="preserve"> information which is used for the configuration backtracking</w:t>
      </w:r>
      <w:r w:rsidR="009F02F4">
        <w:rPr>
          <w:rFonts w:asciiTheme="minorHAnsi" w:hAnsiTheme="minorHAnsi" w:cstheme="minorHAnsi"/>
          <w:lang w:val="en-US"/>
        </w:rPr>
        <w:t>, e.g., the time that elapsed between the RACH triggered and report retrieval.</w:t>
      </w:r>
    </w:p>
    <w:p w14:paraId="15C6A1E0" w14:textId="07AA192E" w:rsidR="0083478A" w:rsidRPr="003C26B9" w:rsidRDefault="0083478A" w:rsidP="00292A4A">
      <w:pPr>
        <w:tabs>
          <w:tab w:val="left" w:pos="2020"/>
        </w:tabs>
        <w:rPr>
          <w:rFonts w:asciiTheme="minorHAnsi" w:hAnsiTheme="minorHAnsi" w:cstheme="minorHAnsi"/>
          <w:b/>
          <w:bCs/>
          <w:u w:val="single"/>
          <w:lang w:val="en-US"/>
        </w:rPr>
      </w:pPr>
      <w:r w:rsidRPr="003C26B9">
        <w:rPr>
          <w:rFonts w:asciiTheme="minorHAnsi" w:hAnsiTheme="minorHAnsi" w:cstheme="minorHAnsi" w:hint="eastAsia"/>
          <w:b/>
          <w:bCs/>
          <w:u w:val="single"/>
          <w:lang w:val="en-US"/>
        </w:rPr>
        <w:t>O</w:t>
      </w:r>
      <w:r w:rsidRPr="003C26B9">
        <w:rPr>
          <w:rFonts w:asciiTheme="minorHAnsi" w:hAnsiTheme="minorHAnsi" w:cstheme="minorHAnsi"/>
          <w:b/>
          <w:bCs/>
          <w:u w:val="single"/>
          <w:lang w:val="en-US"/>
        </w:rPr>
        <w:t>ption2: UE based NSAG filtering.</w:t>
      </w:r>
    </w:p>
    <w:p w14:paraId="786DB0D0" w14:textId="461467E7" w:rsidR="00B63C99" w:rsidRDefault="00B63C99" w:rsidP="000329AE">
      <w:pPr>
        <w:rPr>
          <w:rFonts w:asciiTheme="minorHAnsi" w:hAnsiTheme="minorHAnsi" w:cstheme="minorHAnsi"/>
          <w:lang w:val="en-US"/>
        </w:rPr>
      </w:pPr>
      <w:r w:rsidRPr="00B63C99">
        <w:rPr>
          <w:rFonts w:asciiTheme="minorHAnsi" w:hAnsiTheme="minorHAnsi" w:cstheme="minorHAnsi"/>
          <w:lang w:val="en-US"/>
        </w:rPr>
        <w:t>For the S-NSSAI</w:t>
      </w:r>
      <w:r>
        <w:rPr>
          <w:rFonts w:asciiTheme="minorHAnsi" w:hAnsiTheme="minorHAnsi" w:cstheme="minorHAnsi"/>
          <w:lang w:val="en-US"/>
        </w:rPr>
        <w:t xml:space="preserve"> </w:t>
      </w:r>
      <w:r>
        <w:rPr>
          <w:rFonts w:asciiTheme="minorHAnsi" w:hAnsiTheme="minorHAnsi" w:cstheme="minorHAnsi" w:hint="eastAsia"/>
          <w:lang w:val="en-US"/>
        </w:rPr>
        <w:t>tri</w:t>
      </w:r>
      <w:r>
        <w:rPr>
          <w:rFonts w:asciiTheme="minorHAnsi" w:hAnsiTheme="minorHAnsi" w:cstheme="minorHAnsi"/>
          <w:lang w:val="en-US"/>
        </w:rPr>
        <w:t>ggering</w:t>
      </w:r>
      <w:r w:rsidRPr="00B63C99">
        <w:rPr>
          <w:rFonts w:asciiTheme="minorHAnsi" w:hAnsiTheme="minorHAnsi" w:cstheme="minorHAnsi"/>
          <w:lang w:val="en-US"/>
        </w:rPr>
        <w:t xml:space="preserve"> the RA attempt, the mapped NSAG is used either </w:t>
      </w:r>
      <w:r w:rsidR="000A5C39">
        <w:rPr>
          <w:rFonts w:asciiTheme="minorHAnsi" w:hAnsiTheme="minorHAnsi" w:cstheme="minorHAnsi"/>
          <w:lang w:val="en-US"/>
        </w:rPr>
        <w:t xml:space="preserve">for </w:t>
      </w:r>
      <w:r w:rsidRPr="00B63C99">
        <w:rPr>
          <w:rFonts w:asciiTheme="minorHAnsi" w:hAnsiTheme="minorHAnsi" w:cstheme="minorHAnsi"/>
          <w:lang w:val="en-US"/>
        </w:rPr>
        <w:t xml:space="preserve">cell reselection or </w:t>
      </w:r>
      <w:r w:rsidR="000A5C39">
        <w:rPr>
          <w:rFonts w:asciiTheme="minorHAnsi" w:hAnsiTheme="minorHAnsi" w:cstheme="minorHAnsi"/>
          <w:lang w:val="en-US"/>
        </w:rPr>
        <w:t xml:space="preserve">for </w:t>
      </w:r>
      <w:r w:rsidRPr="00B63C99">
        <w:rPr>
          <w:rFonts w:asciiTheme="minorHAnsi" w:hAnsiTheme="minorHAnsi" w:cstheme="minorHAnsi"/>
          <w:lang w:val="en-US"/>
        </w:rPr>
        <w:t xml:space="preserve">the RACH procedure. Since the existing SIB16 and dedicated signaling provide the NSAG information used in cell reselection, we can use SIB16 and RRCRelease </w:t>
      </w:r>
      <w:r w:rsidR="000A5C39">
        <w:rPr>
          <w:rFonts w:asciiTheme="minorHAnsi" w:hAnsiTheme="minorHAnsi" w:cstheme="minorHAnsi"/>
          <w:lang w:val="en-US"/>
        </w:rPr>
        <w:t>to filter the NSAG used for the</w:t>
      </w:r>
      <w:r w:rsidRPr="00B63C99">
        <w:rPr>
          <w:rFonts w:asciiTheme="minorHAnsi" w:hAnsiTheme="minorHAnsi" w:cstheme="minorHAnsi"/>
          <w:lang w:val="en-US"/>
        </w:rPr>
        <w:t xml:space="preserve"> cell reselection, while the remaining NSAG is used for the RA procedure. In other words, the NSAG </w:t>
      </w:r>
      <w:r w:rsidR="000A5C39">
        <w:rPr>
          <w:rFonts w:asciiTheme="minorHAnsi" w:hAnsiTheme="minorHAnsi" w:cstheme="minorHAnsi"/>
          <w:lang w:val="en-US"/>
        </w:rPr>
        <w:t xml:space="preserve">which is </w:t>
      </w:r>
      <w:r w:rsidRPr="00B63C99">
        <w:rPr>
          <w:rFonts w:asciiTheme="minorHAnsi" w:hAnsiTheme="minorHAnsi" w:cstheme="minorHAnsi"/>
          <w:lang w:val="en-US"/>
        </w:rPr>
        <w:t xml:space="preserve">associated with the S-NSSAI </w:t>
      </w:r>
      <w:r w:rsidR="000A5C39">
        <w:rPr>
          <w:rFonts w:asciiTheme="minorHAnsi" w:hAnsiTheme="minorHAnsi" w:cstheme="minorHAnsi" w:hint="eastAsia"/>
          <w:lang w:val="en-US"/>
        </w:rPr>
        <w:t>tri</w:t>
      </w:r>
      <w:r w:rsidR="000A5C39">
        <w:rPr>
          <w:rFonts w:asciiTheme="minorHAnsi" w:hAnsiTheme="minorHAnsi" w:cstheme="minorHAnsi"/>
          <w:lang w:val="en-US"/>
        </w:rPr>
        <w:t>ggering</w:t>
      </w:r>
      <w:r w:rsidR="000A5C39" w:rsidRPr="00B63C99">
        <w:rPr>
          <w:rFonts w:asciiTheme="minorHAnsi" w:hAnsiTheme="minorHAnsi" w:cstheme="minorHAnsi"/>
          <w:lang w:val="en-US"/>
        </w:rPr>
        <w:t xml:space="preserve"> the RA attempt</w:t>
      </w:r>
      <w:r w:rsidRPr="00B63C99">
        <w:rPr>
          <w:rFonts w:asciiTheme="minorHAnsi" w:hAnsiTheme="minorHAnsi" w:cstheme="minorHAnsi"/>
          <w:lang w:val="en-US"/>
        </w:rPr>
        <w:t xml:space="preserve"> </w:t>
      </w:r>
      <w:r w:rsidR="000A5C39">
        <w:rPr>
          <w:rFonts w:asciiTheme="minorHAnsi" w:hAnsiTheme="minorHAnsi" w:cstheme="minorHAnsi"/>
          <w:lang w:val="en-US"/>
        </w:rPr>
        <w:t xml:space="preserve">and </w:t>
      </w:r>
      <w:r w:rsidRPr="00B63C99">
        <w:rPr>
          <w:rFonts w:asciiTheme="minorHAnsi" w:hAnsiTheme="minorHAnsi" w:cstheme="minorHAnsi"/>
          <w:lang w:val="en-US"/>
        </w:rPr>
        <w:t>not included in SIB16 and RRCRelease is used for the RACH procedure.</w:t>
      </w:r>
    </w:p>
    <w:p w14:paraId="3541C619" w14:textId="021B9D49" w:rsidR="003C26B9" w:rsidRDefault="003C26B9" w:rsidP="000329AE">
      <w:pPr>
        <w:rPr>
          <w:rFonts w:asciiTheme="minorHAnsi" w:hAnsiTheme="minorHAnsi" w:cstheme="minorHAnsi"/>
          <w:b/>
        </w:rPr>
      </w:pPr>
      <w:r>
        <w:rPr>
          <w:rFonts w:asciiTheme="minorHAnsi" w:hAnsiTheme="minorHAnsi" w:cstheme="minorHAnsi" w:hint="eastAsia"/>
          <w:b/>
        </w:rPr>
        <w:t>P</w:t>
      </w:r>
      <w:r>
        <w:rPr>
          <w:rFonts w:asciiTheme="minorHAnsi" w:hAnsiTheme="minorHAnsi" w:cstheme="minorHAnsi"/>
          <w:b/>
        </w:rPr>
        <w:t xml:space="preserve">roposal </w:t>
      </w:r>
      <w:r w:rsidR="00A46894">
        <w:rPr>
          <w:rFonts w:asciiTheme="minorHAnsi" w:hAnsiTheme="minorHAnsi" w:cstheme="minorHAnsi"/>
          <w:b/>
        </w:rPr>
        <w:t>1</w:t>
      </w:r>
      <w:r>
        <w:rPr>
          <w:rFonts w:asciiTheme="minorHAnsi" w:hAnsiTheme="minorHAnsi" w:cstheme="minorHAnsi"/>
          <w:b/>
        </w:rPr>
        <w:t xml:space="preserve">: </w:t>
      </w:r>
      <w:r w:rsidR="00434492">
        <w:rPr>
          <w:rFonts w:asciiTheme="minorHAnsi" w:hAnsiTheme="minorHAnsi" w:cstheme="minorHAnsi"/>
          <w:b/>
        </w:rPr>
        <w:t xml:space="preserve">The following options can be considered to ensure </w:t>
      </w:r>
      <w:r w:rsidR="00127415">
        <w:rPr>
          <w:rFonts w:asciiTheme="minorHAnsi" w:hAnsiTheme="minorHAnsi" w:cstheme="minorHAnsi"/>
          <w:b/>
        </w:rPr>
        <w:t xml:space="preserve">that </w:t>
      </w:r>
      <w:r w:rsidR="00434492">
        <w:rPr>
          <w:rFonts w:asciiTheme="minorHAnsi" w:hAnsiTheme="minorHAnsi" w:cstheme="minorHAnsi"/>
          <w:b/>
        </w:rPr>
        <w:t>the NSAG</w:t>
      </w:r>
      <w:r w:rsidR="00D439A5">
        <w:rPr>
          <w:rFonts w:asciiTheme="minorHAnsi" w:hAnsiTheme="minorHAnsi" w:cstheme="minorHAnsi"/>
          <w:b/>
        </w:rPr>
        <w:t xml:space="preserve"> is</w:t>
      </w:r>
      <w:r w:rsidR="00434492">
        <w:rPr>
          <w:rFonts w:asciiTheme="minorHAnsi" w:hAnsiTheme="minorHAnsi" w:cstheme="minorHAnsi"/>
          <w:b/>
        </w:rPr>
        <w:t xml:space="preserve"> </w:t>
      </w:r>
      <w:r w:rsidR="00AF2FC6">
        <w:rPr>
          <w:rFonts w:asciiTheme="minorHAnsi" w:hAnsiTheme="minorHAnsi" w:cstheme="minorHAnsi"/>
          <w:b/>
        </w:rPr>
        <w:t xml:space="preserve">used </w:t>
      </w:r>
      <w:r w:rsidR="00434492">
        <w:rPr>
          <w:rFonts w:asciiTheme="minorHAnsi" w:hAnsiTheme="minorHAnsi" w:cstheme="minorHAnsi"/>
          <w:b/>
        </w:rPr>
        <w:t>for RACH procedure.</w:t>
      </w:r>
    </w:p>
    <w:p w14:paraId="27EBD6E1" w14:textId="2C7DDB5D" w:rsidR="00434492" w:rsidRPr="00A6562E" w:rsidRDefault="00434492" w:rsidP="00A6562E">
      <w:pPr>
        <w:pStyle w:val="aa"/>
        <w:numPr>
          <w:ilvl w:val="0"/>
          <w:numId w:val="11"/>
        </w:numPr>
        <w:rPr>
          <w:rFonts w:asciiTheme="minorHAnsi" w:hAnsiTheme="minorHAnsi" w:cstheme="minorHAnsi"/>
          <w:b/>
        </w:rPr>
      </w:pPr>
      <w:r w:rsidRPr="00A6562E">
        <w:rPr>
          <w:rFonts w:asciiTheme="minorHAnsi" w:hAnsiTheme="minorHAnsi" w:cstheme="minorHAnsi" w:hint="eastAsia"/>
          <w:b/>
        </w:rPr>
        <w:t>O</w:t>
      </w:r>
      <w:r w:rsidRPr="00A6562E">
        <w:rPr>
          <w:rFonts w:asciiTheme="minorHAnsi" w:hAnsiTheme="minorHAnsi" w:cstheme="minorHAnsi"/>
          <w:b/>
        </w:rPr>
        <w:t xml:space="preserve">ption1: </w:t>
      </w:r>
      <w:r w:rsidR="00A46894" w:rsidRPr="00A6562E">
        <w:rPr>
          <w:rFonts w:asciiTheme="minorHAnsi" w:hAnsiTheme="minorHAnsi" w:cstheme="minorHAnsi"/>
          <w:b/>
        </w:rPr>
        <w:t>UE includes the NSAG(s) that belong to the S-NSSA(s) triggering the RA attempt, and the time that elapsed between the RACH triggered and report retravel which is used for the NSAG filtering by NG-RAN.</w:t>
      </w:r>
    </w:p>
    <w:p w14:paraId="7FCB8B68" w14:textId="74E907CD" w:rsidR="005910EB" w:rsidRPr="00A6562E" w:rsidRDefault="00A46894" w:rsidP="00A6562E">
      <w:pPr>
        <w:pStyle w:val="aa"/>
        <w:numPr>
          <w:ilvl w:val="0"/>
          <w:numId w:val="11"/>
        </w:numPr>
        <w:rPr>
          <w:rFonts w:asciiTheme="minorHAnsi" w:hAnsiTheme="minorHAnsi" w:cstheme="minorHAnsi"/>
          <w:b/>
        </w:rPr>
      </w:pPr>
      <w:r w:rsidRPr="00A6562E">
        <w:rPr>
          <w:rFonts w:asciiTheme="minorHAnsi" w:hAnsiTheme="minorHAnsi" w:cstheme="minorHAnsi" w:hint="eastAsia"/>
          <w:b/>
        </w:rPr>
        <w:t>O</w:t>
      </w:r>
      <w:r w:rsidRPr="00A6562E">
        <w:rPr>
          <w:rFonts w:asciiTheme="minorHAnsi" w:hAnsiTheme="minorHAnsi" w:cstheme="minorHAnsi"/>
          <w:b/>
        </w:rPr>
        <w:t>ption2: UE includes the NSAG(s) that belong to the S-NSSAI(s) triggering the RA attempt and not included in SIB16 and RRCRelease.</w:t>
      </w:r>
    </w:p>
    <w:bookmarkEnd w:id="4"/>
    <w:bookmarkEnd w:id="5"/>
    <w:bookmarkEnd w:id="6"/>
    <w:bookmarkEnd w:id="7"/>
    <w:p w14:paraId="18EDDB72" w14:textId="1E791318" w:rsidR="00C339C9" w:rsidRDefault="00C339C9" w:rsidP="00413CFD">
      <w:pPr>
        <w:pStyle w:val="1"/>
      </w:pPr>
      <w:r>
        <w:rPr>
          <w:rFonts w:hint="eastAsia"/>
        </w:rPr>
        <w:t>Conclusions</w:t>
      </w:r>
    </w:p>
    <w:p w14:paraId="474EB1A5" w14:textId="098A5235" w:rsidR="00E84B41" w:rsidRDefault="00E84B41" w:rsidP="00E84B41">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21BC5995" w14:textId="77777777" w:rsidR="00A43E6F" w:rsidRDefault="00A43E6F" w:rsidP="00A43E6F">
      <w:pPr>
        <w:tabs>
          <w:tab w:val="left" w:pos="2020"/>
        </w:tabs>
        <w:rPr>
          <w:rFonts w:asciiTheme="minorHAnsi" w:hAnsiTheme="minorHAnsi" w:cstheme="minorHAnsi"/>
          <w:b/>
          <w:bCs/>
        </w:rPr>
      </w:pPr>
      <w:r w:rsidRPr="00C672BB">
        <w:rPr>
          <w:rFonts w:asciiTheme="minorHAnsi" w:hAnsiTheme="minorHAnsi" w:cstheme="minorHAnsi" w:hint="eastAsia"/>
          <w:b/>
          <w:bCs/>
        </w:rPr>
        <w:t>O</w:t>
      </w:r>
      <w:r w:rsidRPr="00C672BB">
        <w:rPr>
          <w:rFonts w:asciiTheme="minorHAnsi" w:hAnsiTheme="minorHAnsi" w:cstheme="minorHAnsi"/>
          <w:b/>
          <w:bCs/>
        </w:rPr>
        <w:t>bservation</w:t>
      </w:r>
      <w:r>
        <w:rPr>
          <w:rFonts w:asciiTheme="minorHAnsi" w:hAnsiTheme="minorHAnsi" w:cstheme="minorHAnsi"/>
          <w:b/>
          <w:bCs/>
        </w:rPr>
        <w:t xml:space="preserve"> 1</w:t>
      </w:r>
      <w:r w:rsidRPr="00C672BB">
        <w:rPr>
          <w:rFonts w:asciiTheme="minorHAnsi" w:hAnsiTheme="minorHAnsi" w:cstheme="minorHAnsi"/>
          <w:b/>
          <w:bCs/>
        </w:rPr>
        <w:t>: If the SIB1 is used for filtering, the NSAG associated with the S-NSSAI triggering the RACH procedure but not configured with RACH configuration will never be known and considered by network.</w:t>
      </w:r>
    </w:p>
    <w:p w14:paraId="24D5A787" w14:textId="3388AB34" w:rsidR="00A43E6F" w:rsidRDefault="00A43E6F" w:rsidP="00E84B41">
      <w:pPr>
        <w:rPr>
          <w:rFonts w:asciiTheme="minorHAnsi" w:hAnsiTheme="minorHAnsi" w:cstheme="minorHAnsi"/>
        </w:rPr>
      </w:pPr>
    </w:p>
    <w:p w14:paraId="7190E57E" w14:textId="4B23FE0F" w:rsidR="00A43E6F" w:rsidRDefault="00A43E6F" w:rsidP="00A43E6F">
      <w:pPr>
        <w:rPr>
          <w:rFonts w:asciiTheme="minorHAnsi" w:hAnsiTheme="minorHAnsi" w:cstheme="minorHAnsi"/>
          <w:b/>
        </w:rPr>
      </w:pPr>
      <w:r>
        <w:rPr>
          <w:rFonts w:asciiTheme="minorHAnsi" w:hAnsiTheme="minorHAnsi" w:cstheme="minorHAnsi" w:hint="eastAsia"/>
          <w:b/>
        </w:rPr>
        <w:t>P</w:t>
      </w:r>
      <w:r>
        <w:rPr>
          <w:rFonts w:asciiTheme="minorHAnsi" w:hAnsiTheme="minorHAnsi" w:cstheme="minorHAnsi"/>
          <w:b/>
        </w:rPr>
        <w:t xml:space="preserve">roposal 1: The following options can be considered to ensure </w:t>
      </w:r>
      <w:r w:rsidR="00127415">
        <w:rPr>
          <w:rFonts w:asciiTheme="minorHAnsi" w:hAnsiTheme="minorHAnsi" w:cstheme="minorHAnsi"/>
          <w:b/>
        </w:rPr>
        <w:t xml:space="preserve">that </w:t>
      </w:r>
      <w:r>
        <w:rPr>
          <w:rFonts w:asciiTheme="minorHAnsi" w:hAnsiTheme="minorHAnsi" w:cstheme="minorHAnsi"/>
          <w:b/>
        </w:rPr>
        <w:t>the</w:t>
      </w:r>
      <w:r w:rsidR="002D2315">
        <w:rPr>
          <w:rFonts w:asciiTheme="minorHAnsi" w:hAnsiTheme="minorHAnsi" w:cstheme="minorHAnsi"/>
          <w:b/>
        </w:rPr>
        <w:t xml:space="preserve"> </w:t>
      </w:r>
      <w:r>
        <w:rPr>
          <w:rFonts w:asciiTheme="minorHAnsi" w:hAnsiTheme="minorHAnsi" w:cstheme="minorHAnsi"/>
          <w:b/>
        </w:rPr>
        <w:t xml:space="preserve">NSAG </w:t>
      </w:r>
      <w:r w:rsidR="00FA2A06">
        <w:rPr>
          <w:rFonts w:asciiTheme="minorHAnsi" w:hAnsiTheme="minorHAnsi" w:cstheme="minorHAnsi"/>
          <w:b/>
        </w:rPr>
        <w:t xml:space="preserve">is </w:t>
      </w:r>
      <w:r w:rsidR="00AF2FC6">
        <w:rPr>
          <w:rFonts w:asciiTheme="minorHAnsi" w:hAnsiTheme="minorHAnsi" w:cstheme="minorHAnsi"/>
          <w:b/>
        </w:rPr>
        <w:t xml:space="preserve">used </w:t>
      </w:r>
      <w:r>
        <w:rPr>
          <w:rFonts w:asciiTheme="minorHAnsi" w:hAnsiTheme="minorHAnsi" w:cstheme="minorHAnsi"/>
          <w:b/>
        </w:rPr>
        <w:t>for RACH procedure.</w:t>
      </w:r>
    </w:p>
    <w:p w14:paraId="5EC1130D" w14:textId="61E04649" w:rsidR="00A43E6F" w:rsidRPr="0014249C" w:rsidRDefault="00A43E6F" w:rsidP="0014249C">
      <w:pPr>
        <w:pStyle w:val="aa"/>
        <w:numPr>
          <w:ilvl w:val="0"/>
          <w:numId w:val="10"/>
        </w:numPr>
        <w:rPr>
          <w:rFonts w:asciiTheme="minorHAnsi" w:hAnsiTheme="minorHAnsi" w:cstheme="minorHAnsi"/>
          <w:b/>
        </w:rPr>
      </w:pPr>
      <w:r w:rsidRPr="0014249C">
        <w:rPr>
          <w:rFonts w:asciiTheme="minorHAnsi" w:hAnsiTheme="minorHAnsi" w:cstheme="minorHAnsi" w:hint="eastAsia"/>
          <w:b/>
        </w:rPr>
        <w:t>O</w:t>
      </w:r>
      <w:r w:rsidRPr="0014249C">
        <w:rPr>
          <w:rFonts w:asciiTheme="minorHAnsi" w:hAnsiTheme="minorHAnsi" w:cstheme="minorHAnsi"/>
          <w:b/>
        </w:rPr>
        <w:t>ption1: UE includes the NSAG(s) that belong to the S-NSSA(s) triggering the RA attempt, and the time that elapsed between the RACH triggered and report retravel which is used for the NSAG filtering by NG-RAN.</w:t>
      </w:r>
    </w:p>
    <w:p w14:paraId="3004B25D" w14:textId="59141AB7" w:rsidR="00A43E6F" w:rsidRPr="0014249C" w:rsidRDefault="00A43E6F" w:rsidP="0014249C">
      <w:pPr>
        <w:pStyle w:val="aa"/>
        <w:numPr>
          <w:ilvl w:val="0"/>
          <w:numId w:val="10"/>
        </w:numPr>
        <w:rPr>
          <w:rFonts w:asciiTheme="minorHAnsi" w:hAnsiTheme="minorHAnsi" w:cstheme="minorHAnsi"/>
          <w:b/>
        </w:rPr>
      </w:pPr>
      <w:r w:rsidRPr="0014249C">
        <w:rPr>
          <w:rFonts w:asciiTheme="minorHAnsi" w:hAnsiTheme="minorHAnsi" w:cstheme="minorHAnsi" w:hint="eastAsia"/>
          <w:b/>
        </w:rPr>
        <w:t>O</w:t>
      </w:r>
      <w:r w:rsidRPr="0014249C">
        <w:rPr>
          <w:rFonts w:asciiTheme="minorHAnsi" w:hAnsiTheme="minorHAnsi" w:cstheme="minorHAnsi"/>
          <w:b/>
        </w:rPr>
        <w:t>ption2: UE includes the NSAG(s) that belong to the S-NSSAI(s) triggering the RA attempt and not included in SIB16 and RRCRelease.</w:t>
      </w:r>
    </w:p>
    <w:p w14:paraId="20F61C3F" w14:textId="77777777" w:rsidR="001B23CC" w:rsidRDefault="006445BF">
      <w:pPr>
        <w:pStyle w:val="1"/>
      </w:pPr>
      <w:r>
        <w:rPr>
          <w:rFonts w:hint="eastAsia"/>
        </w:rPr>
        <w:t>References</w:t>
      </w:r>
    </w:p>
    <w:bookmarkEnd w:id="0"/>
    <w:p w14:paraId="0C349A84" w14:textId="3B9BFCDB" w:rsidR="00813314" w:rsidRPr="003A440D" w:rsidRDefault="00C0171D" w:rsidP="003A440D">
      <w:pPr>
        <w:pStyle w:val="Reference"/>
        <w:rPr>
          <w:rFonts w:asciiTheme="minorHAnsi" w:hAnsiTheme="minorHAnsi" w:cstheme="minorHAnsi"/>
        </w:rPr>
      </w:pPr>
      <w:r w:rsidRPr="00C0171D">
        <w:rPr>
          <w:rFonts w:asciiTheme="minorHAnsi" w:hAnsiTheme="minorHAnsi" w:cstheme="minorHAnsi"/>
        </w:rPr>
        <w:t>RAN2-123-SONMDT-HU _2023-08-24-1444</w:t>
      </w:r>
    </w:p>
    <w:sectPr w:rsidR="00813314" w:rsidRPr="003A440D" w:rsidSect="004131C8">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74468" w14:textId="77777777" w:rsidR="00561AE8" w:rsidRDefault="00561AE8">
      <w:pPr>
        <w:spacing w:line="240" w:lineRule="auto"/>
      </w:pPr>
      <w:r>
        <w:separator/>
      </w:r>
    </w:p>
  </w:endnote>
  <w:endnote w:type="continuationSeparator" w:id="0">
    <w:p w14:paraId="45C79EC3" w14:textId="77777777" w:rsidR="00561AE8" w:rsidRDefault="00561A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7FE2496E" w:rsidR="0099784A" w:rsidRDefault="0099784A">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8D0698">
      <w:rPr>
        <w:noProof/>
        <w:sz w:val="20"/>
        <w:szCs w:val="20"/>
      </w:rPr>
      <w:t>7</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8D0698">
      <w:rPr>
        <w:noProof/>
        <w:sz w:val="20"/>
        <w:szCs w:val="20"/>
      </w:rPr>
      <w:t>7</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724B" w14:textId="77777777" w:rsidR="00561AE8" w:rsidRDefault="00561AE8">
      <w:pPr>
        <w:spacing w:after="0"/>
      </w:pPr>
      <w:r>
        <w:separator/>
      </w:r>
    </w:p>
  </w:footnote>
  <w:footnote w:type="continuationSeparator" w:id="0">
    <w:p w14:paraId="1C60D38F" w14:textId="77777777" w:rsidR="00561AE8" w:rsidRDefault="00561A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BA6153A"/>
    <w:multiLevelType w:val="hybridMultilevel"/>
    <w:tmpl w:val="9E28E866"/>
    <w:lvl w:ilvl="0" w:tplc="491C0C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542ADF"/>
    <w:multiLevelType w:val="hybridMultilevel"/>
    <w:tmpl w:val="448AF4CA"/>
    <w:lvl w:ilvl="0" w:tplc="BA5611E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F42634"/>
    <w:multiLevelType w:val="hybridMultilevel"/>
    <w:tmpl w:val="9BE62D00"/>
    <w:lvl w:ilvl="0" w:tplc="2C76F3E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8"/>
  </w:num>
  <w:num w:numId="4">
    <w:abstractNumId w:val="3"/>
  </w:num>
  <w:num w:numId="5">
    <w:abstractNumId w:val="1"/>
  </w:num>
  <w:num w:numId="6">
    <w:abstractNumId w:val="2"/>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4CFF"/>
    <w:rsid w:val="00005D8C"/>
    <w:rsid w:val="00006168"/>
    <w:rsid w:val="00006663"/>
    <w:rsid w:val="00012453"/>
    <w:rsid w:val="00012EC8"/>
    <w:rsid w:val="000151D8"/>
    <w:rsid w:val="00017053"/>
    <w:rsid w:val="0001738C"/>
    <w:rsid w:val="00020C29"/>
    <w:rsid w:val="000245EA"/>
    <w:rsid w:val="00025CDD"/>
    <w:rsid w:val="00031167"/>
    <w:rsid w:val="000314F3"/>
    <w:rsid w:val="000329AE"/>
    <w:rsid w:val="00033567"/>
    <w:rsid w:val="000355A1"/>
    <w:rsid w:val="0004209D"/>
    <w:rsid w:val="000441C2"/>
    <w:rsid w:val="000475C5"/>
    <w:rsid w:val="00047639"/>
    <w:rsid w:val="00047C7C"/>
    <w:rsid w:val="00056436"/>
    <w:rsid w:val="000576FD"/>
    <w:rsid w:val="000578DA"/>
    <w:rsid w:val="00061371"/>
    <w:rsid w:val="000628DC"/>
    <w:rsid w:val="00064502"/>
    <w:rsid w:val="00064528"/>
    <w:rsid w:val="0006633D"/>
    <w:rsid w:val="000663E6"/>
    <w:rsid w:val="000669C5"/>
    <w:rsid w:val="00067BCE"/>
    <w:rsid w:val="000730E0"/>
    <w:rsid w:val="00075903"/>
    <w:rsid w:val="00075E1F"/>
    <w:rsid w:val="00076360"/>
    <w:rsid w:val="000825B8"/>
    <w:rsid w:val="000827F9"/>
    <w:rsid w:val="00083E9E"/>
    <w:rsid w:val="00085A25"/>
    <w:rsid w:val="000913E2"/>
    <w:rsid w:val="000A0D7D"/>
    <w:rsid w:val="000A3F7E"/>
    <w:rsid w:val="000A56D4"/>
    <w:rsid w:val="000A5C39"/>
    <w:rsid w:val="000A6E56"/>
    <w:rsid w:val="000A714F"/>
    <w:rsid w:val="000B01C1"/>
    <w:rsid w:val="000B050F"/>
    <w:rsid w:val="000B086B"/>
    <w:rsid w:val="000B10C0"/>
    <w:rsid w:val="000B133A"/>
    <w:rsid w:val="000B1848"/>
    <w:rsid w:val="000B1F8D"/>
    <w:rsid w:val="000B251B"/>
    <w:rsid w:val="000B5B9F"/>
    <w:rsid w:val="000C0981"/>
    <w:rsid w:val="000C14AD"/>
    <w:rsid w:val="000C7354"/>
    <w:rsid w:val="000C7D11"/>
    <w:rsid w:val="000C7E26"/>
    <w:rsid w:val="000D03AD"/>
    <w:rsid w:val="000D4245"/>
    <w:rsid w:val="000D4445"/>
    <w:rsid w:val="000D4DC6"/>
    <w:rsid w:val="000D551C"/>
    <w:rsid w:val="000D55F4"/>
    <w:rsid w:val="000D76B7"/>
    <w:rsid w:val="000E2594"/>
    <w:rsid w:val="000F28E5"/>
    <w:rsid w:val="000F3EA6"/>
    <w:rsid w:val="000F418E"/>
    <w:rsid w:val="001004A2"/>
    <w:rsid w:val="0010154A"/>
    <w:rsid w:val="00102BA6"/>
    <w:rsid w:val="001033C0"/>
    <w:rsid w:val="00103720"/>
    <w:rsid w:val="00105BFE"/>
    <w:rsid w:val="001066DD"/>
    <w:rsid w:val="00106E92"/>
    <w:rsid w:val="00107FD7"/>
    <w:rsid w:val="00111C1B"/>
    <w:rsid w:val="00112328"/>
    <w:rsid w:val="0011503C"/>
    <w:rsid w:val="00115774"/>
    <w:rsid w:val="00115A7E"/>
    <w:rsid w:val="00117C02"/>
    <w:rsid w:val="00120146"/>
    <w:rsid w:val="00120920"/>
    <w:rsid w:val="00122104"/>
    <w:rsid w:val="001221A6"/>
    <w:rsid w:val="001225CB"/>
    <w:rsid w:val="00122B06"/>
    <w:rsid w:val="00127415"/>
    <w:rsid w:val="001303A0"/>
    <w:rsid w:val="00131C0F"/>
    <w:rsid w:val="0014249C"/>
    <w:rsid w:val="001445C4"/>
    <w:rsid w:val="001456CA"/>
    <w:rsid w:val="00145B60"/>
    <w:rsid w:val="00151A45"/>
    <w:rsid w:val="00152196"/>
    <w:rsid w:val="00153D51"/>
    <w:rsid w:val="00155D97"/>
    <w:rsid w:val="0016074E"/>
    <w:rsid w:val="00161FC2"/>
    <w:rsid w:val="001620A1"/>
    <w:rsid w:val="001646B0"/>
    <w:rsid w:val="001647DA"/>
    <w:rsid w:val="00166937"/>
    <w:rsid w:val="00166E65"/>
    <w:rsid w:val="001707F9"/>
    <w:rsid w:val="00170B6B"/>
    <w:rsid w:val="0017268F"/>
    <w:rsid w:val="00174F73"/>
    <w:rsid w:val="0017692C"/>
    <w:rsid w:val="00176B51"/>
    <w:rsid w:val="001831B0"/>
    <w:rsid w:val="001833CD"/>
    <w:rsid w:val="00183A26"/>
    <w:rsid w:val="00185532"/>
    <w:rsid w:val="00187E87"/>
    <w:rsid w:val="0019047C"/>
    <w:rsid w:val="00193394"/>
    <w:rsid w:val="001959D2"/>
    <w:rsid w:val="001A335E"/>
    <w:rsid w:val="001A4573"/>
    <w:rsid w:val="001A468C"/>
    <w:rsid w:val="001A76C4"/>
    <w:rsid w:val="001B0A1F"/>
    <w:rsid w:val="001B1EF5"/>
    <w:rsid w:val="001B23CC"/>
    <w:rsid w:val="001B534A"/>
    <w:rsid w:val="001B5640"/>
    <w:rsid w:val="001B7C72"/>
    <w:rsid w:val="001C0AD5"/>
    <w:rsid w:val="001C3D6B"/>
    <w:rsid w:val="001D290C"/>
    <w:rsid w:val="001D2B67"/>
    <w:rsid w:val="001D474F"/>
    <w:rsid w:val="001D5B51"/>
    <w:rsid w:val="001E1937"/>
    <w:rsid w:val="001E1E89"/>
    <w:rsid w:val="001E2FC6"/>
    <w:rsid w:val="001F4D4F"/>
    <w:rsid w:val="001F516E"/>
    <w:rsid w:val="001F737F"/>
    <w:rsid w:val="001F7B11"/>
    <w:rsid w:val="001F7D8D"/>
    <w:rsid w:val="00204309"/>
    <w:rsid w:val="00205629"/>
    <w:rsid w:val="00205A9E"/>
    <w:rsid w:val="00206506"/>
    <w:rsid w:val="002068B3"/>
    <w:rsid w:val="00207DD9"/>
    <w:rsid w:val="00214280"/>
    <w:rsid w:val="0021434E"/>
    <w:rsid w:val="00214A0B"/>
    <w:rsid w:val="00215098"/>
    <w:rsid w:val="00215C4C"/>
    <w:rsid w:val="002214AC"/>
    <w:rsid w:val="00223E46"/>
    <w:rsid w:val="002252B7"/>
    <w:rsid w:val="002276E8"/>
    <w:rsid w:val="00234AF6"/>
    <w:rsid w:val="00234F10"/>
    <w:rsid w:val="00235825"/>
    <w:rsid w:val="002405C0"/>
    <w:rsid w:val="0024148E"/>
    <w:rsid w:val="002439FD"/>
    <w:rsid w:val="0024428A"/>
    <w:rsid w:val="00245671"/>
    <w:rsid w:val="00246076"/>
    <w:rsid w:val="00247C53"/>
    <w:rsid w:val="002510F5"/>
    <w:rsid w:val="002517C5"/>
    <w:rsid w:val="0025226D"/>
    <w:rsid w:val="002539FD"/>
    <w:rsid w:val="00257936"/>
    <w:rsid w:val="00261285"/>
    <w:rsid w:val="00261582"/>
    <w:rsid w:val="002652CE"/>
    <w:rsid w:val="002655F2"/>
    <w:rsid w:val="00270597"/>
    <w:rsid w:val="0027064F"/>
    <w:rsid w:val="002720B7"/>
    <w:rsid w:val="0027468D"/>
    <w:rsid w:val="002752BC"/>
    <w:rsid w:val="00275394"/>
    <w:rsid w:val="00277442"/>
    <w:rsid w:val="00280E01"/>
    <w:rsid w:val="00281D79"/>
    <w:rsid w:val="002823FF"/>
    <w:rsid w:val="00282E80"/>
    <w:rsid w:val="002839D9"/>
    <w:rsid w:val="0028675B"/>
    <w:rsid w:val="00287A94"/>
    <w:rsid w:val="00287D77"/>
    <w:rsid w:val="00287F6D"/>
    <w:rsid w:val="00292A4A"/>
    <w:rsid w:val="00293F6D"/>
    <w:rsid w:val="0029463B"/>
    <w:rsid w:val="002968C8"/>
    <w:rsid w:val="002A140E"/>
    <w:rsid w:val="002A20BC"/>
    <w:rsid w:val="002A27C8"/>
    <w:rsid w:val="002A31B1"/>
    <w:rsid w:val="002A345D"/>
    <w:rsid w:val="002A7E74"/>
    <w:rsid w:val="002B2511"/>
    <w:rsid w:val="002B25FD"/>
    <w:rsid w:val="002B36F7"/>
    <w:rsid w:val="002B3D10"/>
    <w:rsid w:val="002B6241"/>
    <w:rsid w:val="002C0E74"/>
    <w:rsid w:val="002C2A34"/>
    <w:rsid w:val="002C433B"/>
    <w:rsid w:val="002C6D0F"/>
    <w:rsid w:val="002D2315"/>
    <w:rsid w:val="002F0443"/>
    <w:rsid w:val="002F3B69"/>
    <w:rsid w:val="002F70CE"/>
    <w:rsid w:val="002F74E7"/>
    <w:rsid w:val="002F7732"/>
    <w:rsid w:val="00302407"/>
    <w:rsid w:val="00302D9B"/>
    <w:rsid w:val="00302F3D"/>
    <w:rsid w:val="00305094"/>
    <w:rsid w:val="003068AE"/>
    <w:rsid w:val="003068B4"/>
    <w:rsid w:val="0030777E"/>
    <w:rsid w:val="00313390"/>
    <w:rsid w:val="00313905"/>
    <w:rsid w:val="00315D52"/>
    <w:rsid w:val="003162FB"/>
    <w:rsid w:val="00317329"/>
    <w:rsid w:val="00320B25"/>
    <w:rsid w:val="00320C19"/>
    <w:rsid w:val="003217B8"/>
    <w:rsid w:val="003253D8"/>
    <w:rsid w:val="0032641A"/>
    <w:rsid w:val="0033146F"/>
    <w:rsid w:val="00333903"/>
    <w:rsid w:val="0034027C"/>
    <w:rsid w:val="00340368"/>
    <w:rsid w:val="003408A3"/>
    <w:rsid w:val="0034095C"/>
    <w:rsid w:val="00344D1D"/>
    <w:rsid w:val="00344FAA"/>
    <w:rsid w:val="00351876"/>
    <w:rsid w:val="00352F17"/>
    <w:rsid w:val="00354509"/>
    <w:rsid w:val="00357712"/>
    <w:rsid w:val="00357720"/>
    <w:rsid w:val="00361D69"/>
    <w:rsid w:val="00362E40"/>
    <w:rsid w:val="003642C5"/>
    <w:rsid w:val="00367943"/>
    <w:rsid w:val="003701DD"/>
    <w:rsid w:val="00370EBE"/>
    <w:rsid w:val="0037172E"/>
    <w:rsid w:val="00374A03"/>
    <w:rsid w:val="00382972"/>
    <w:rsid w:val="00383436"/>
    <w:rsid w:val="00384235"/>
    <w:rsid w:val="00387321"/>
    <w:rsid w:val="00387C2D"/>
    <w:rsid w:val="0039206B"/>
    <w:rsid w:val="003930E7"/>
    <w:rsid w:val="00393261"/>
    <w:rsid w:val="003933F9"/>
    <w:rsid w:val="003940F3"/>
    <w:rsid w:val="00394831"/>
    <w:rsid w:val="0039644A"/>
    <w:rsid w:val="003966AA"/>
    <w:rsid w:val="00396A6D"/>
    <w:rsid w:val="003A16C8"/>
    <w:rsid w:val="003A2270"/>
    <w:rsid w:val="003A440D"/>
    <w:rsid w:val="003A6DDF"/>
    <w:rsid w:val="003A7187"/>
    <w:rsid w:val="003B1B9E"/>
    <w:rsid w:val="003B291D"/>
    <w:rsid w:val="003B4B05"/>
    <w:rsid w:val="003B5313"/>
    <w:rsid w:val="003B534B"/>
    <w:rsid w:val="003C26B9"/>
    <w:rsid w:val="003C3BB1"/>
    <w:rsid w:val="003C4E94"/>
    <w:rsid w:val="003C5475"/>
    <w:rsid w:val="003C62E9"/>
    <w:rsid w:val="003C6A08"/>
    <w:rsid w:val="003C6B0F"/>
    <w:rsid w:val="003D0D7F"/>
    <w:rsid w:val="003D17E9"/>
    <w:rsid w:val="003D36A2"/>
    <w:rsid w:val="003D46CA"/>
    <w:rsid w:val="003D4993"/>
    <w:rsid w:val="003D63EC"/>
    <w:rsid w:val="003D6D0D"/>
    <w:rsid w:val="003E1DBD"/>
    <w:rsid w:val="003E3335"/>
    <w:rsid w:val="003E4824"/>
    <w:rsid w:val="003E6A77"/>
    <w:rsid w:val="003E6D89"/>
    <w:rsid w:val="003E6EC8"/>
    <w:rsid w:val="003F01CC"/>
    <w:rsid w:val="003F122A"/>
    <w:rsid w:val="003F222F"/>
    <w:rsid w:val="003F31DC"/>
    <w:rsid w:val="003F734A"/>
    <w:rsid w:val="00402D60"/>
    <w:rsid w:val="00404580"/>
    <w:rsid w:val="00407D6B"/>
    <w:rsid w:val="004109EB"/>
    <w:rsid w:val="004121AF"/>
    <w:rsid w:val="00412DD4"/>
    <w:rsid w:val="004131C8"/>
    <w:rsid w:val="00413CFD"/>
    <w:rsid w:val="00415B3F"/>
    <w:rsid w:val="00416145"/>
    <w:rsid w:val="004173E8"/>
    <w:rsid w:val="00417856"/>
    <w:rsid w:val="00421E97"/>
    <w:rsid w:val="00424013"/>
    <w:rsid w:val="0043045B"/>
    <w:rsid w:val="00431FC4"/>
    <w:rsid w:val="00432608"/>
    <w:rsid w:val="004331C7"/>
    <w:rsid w:val="00433766"/>
    <w:rsid w:val="004339FD"/>
    <w:rsid w:val="00433C89"/>
    <w:rsid w:val="00434492"/>
    <w:rsid w:val="00434ADF"/>
    <w:rsid w:val="0043707B"/>
    <w:rsid w:val="00437677"/>
    <w:rsid w:val="00437B24"/>
    <w:rsid w:val="00440043"/>
    <w:rsid w:val="00441669"/>
    <w:rsid w:val="00442D5E"/>
    <w:rsid w:val="00445E79"/>
    <w:rsid w:val="0045160B"/>
    <w:rsid w:val="00452C1F"/>
    <w:rsid w:val="004545C6"/>
    <w:rsid w:val="0045506F"/>
    <w:rsid w:val="00455A28"/>
    <w:rsid w:val="00456D07"/>
    <w:rsid w:val="0045752C"/>
    <w:rsid w:val="0045777E"/>
    <w:rsid w:val="004603BD"/>
    <w:rsid w:val="00460ABB"/>
    <w:rsid w:val="00461E72"/>
    <w:rsid w:val="00463270"/>
    <w:rsid w:val="00463361"/>
    <w:rsid w:val="00463974"/>
    <w:rsid w:val="00471D19"/>
    <w:rsid w:val="004722BD"/>
    <w:rsid w:val="00474CB4"/>
    <w:rsid w:val="0047520E"/>
    <w:rsid w:val="0048078C"/>
    <w:rsid w:val="00482504"/>
    <w:rsid w:val="0048288A"/>
    <w:rsid w:val="00484B14"/>
    <w:rsid w:val="00486A7C"/>
    <w:rsid w:val="00487D06"/>
    <w:rsid w:val="004913A8"/>
    <w:rsid w:val="00492B84"/>
    <w:rsid w:val="00493FF0"/>
    <w:rsid w:val="0049457A"/>
    <w:rsid w:val="0049693C"/>
    <w:rsid w:val="0049783C"/>
    <w:rsid w:val="004A11E1"/>
    <w:rsid w:val="004A2162"/>
    <w:rsid w:val="004A4797"/>
    <w:rsid w:val="004A4D8B"/>
    <w:rsid w:val="004A64D7"/>
    <w:rsid w:val="004B19E3"/>
    <w:rsid w:val="004B2450"/>
    <w:rsid w:val="004B4F88"/>
    <w:rsid w:val="004C0AD1"/>
    <w:rsid w:val="004C123C"/>
    <w:rsid w:val="004C3075"/>
    <w:rsid w:val="004C3B7C"/>
    <w:rsid w:val="004C6737"/>
    <w:rsid w:val="004D010D"/>
    <w:rsid w:val="004D14DA"/>
    <w:rsid w:val="004D1BFF"/>
    <w:rsid w:val="004D2BBA"/>
    <w:rsid w:val="004D4EF2"/>
    <w:rsid w:val="004D555B"/>
    <w:rsid w:val="004D650F"/>
    <w:rsid w:val="004E1B59"/>
    <w:rsid w:val="004E1D46"/>
    <w:rsid w:val="004E555E"/>
    <w:rsid w:val="004E61BC"/>
    <w:rsid w:val="004E6928"/>
    <w:rsid w:val="004F0F1D"/>
    <w:rsid w:val="004F10D9"/>
    <w:rsid w:val="004F209F"/>
    <w:rsid w:val="004F5B27"/>
    <w:rsid w:val="004F60AE"/>
    <w:rsid w:val="004F79A7"/>
    <w:rsid w:val="00501E3D"/>
    <w:rsid w:val="00501EF9"/>
    <w:rsid w:val="005024F6"/>
    <w:rsid w:val="00504057"/>
    <w:rsid w:val="0051161E"/>
    <w:rsid w:val="00512A04"/>
    <w:rsid w:val="00512D03"/>
    <w:rsid w:val="005154DE"/>
    <w:rsid w:val="00515AEF"/>
    <w:rsid w:val="00515B38"/>
    <w:rsid w:val="0052239A"/>
    <w:rsid w:val="00524364"/>
    <w:rsid w:val="00530057"/>
    <w:rsid w:val="00530E8D"/>
    <w:rsid w:val="0053660F"/>
    <w:rsid w:val="00542721"/>
    <w:rsid w:val="00542D1D"/>
    <w:rsid w:val="00550534"/>
    <w:rsid w:val="00552028"/>
    <w:rsid w:val="00552A31"/>
    <w:rsid w:val="00553E93"/>
    <w:rsid w:val="00556BD3"/>
    <w:rsid w:val="00557651"/>
    <w:rsid w:val="00561AE8"/>
    <w:rsid w:val="005628A7"/>
    <w:rsid w:val="00562EFC"/>
    <w:rsid w:val="00563E6C"/>
    <w:rsid w:val="005647FA"/>
    <w:rsid w:val="00566192"/>
    <w:rsid w:val="00566473"/>
    <w:rsid w:val="00567544"/>
    <w:rsid w:val="00572C1D"/>
    <w:rsid w:val="00572FF5"/>
    <w:rsid w:val="00573D77"/>
    <w:rsid w:val="0058138B"/>
    <w:rsid w:val="00582363"/>
    <w:rsid w:val="00582830"/>
    <w:rsid w:val="005828AB"/>
    <w:rsid w:val="00582FE7"/>
    <w:rsid w:val="005876FE"/>
    <w:rsid w:val="005910EB"/>
    <w:rsid w:val="0059253E"/>
    <w:rsid w:val="0059287D"/>
    <w:rsid w:val="0059356B"/>
    <w:rsid w:val="005959F2"/>
    <w:rsid w:val="00595FF2"/>
    <w:rsid w:val="00596B4F"/>
    <w:rsid w:val="005A21F9"/>
    <w:rsid w:val="005A2712"/>
    <w:rsid w:val="005A438B"/>
    <w:rsid w:val="005A4EAE"/>
    <w:rsid w:val="005A794E"/>
    <w:rsid w:val="005A7DA9"/>
    <w:rsid w:val="005B05EB"/>
    <w:rsid w:val="005B0A58"/>
    <w:rsid w:val="005B3B6E"/>
    <w:rsid w:val="005B5B79"/>
    <w:rsid w:val="005B5DBE"/>
    <w:rsid w:val="005B65FE"/>
    <w:rsid w:val="005B6964"/>
    <w:rsid w:val="005B7BC7"/>
    <w:rsid w:val="005B7D81"/>
    <w:rsid w:val="005C0405"/>
    <w:rsid w:val="005C0731"/>
    <w:rsid w:val="005C50C6"/>
    <w:rsid w:val="005C5C0D"/>
    <w:rsid w:val="005C5E92"/>
    <w:rsid w:val="005C660C"/>
    <w:rsid w:val="005C704F"/>
    <w:rsid w:val="005C774A"/>
    <w:rsid w:val="005C7F8C"/>
    <w:rsid w:val="005D02BA"/>
    <w:rsid w:val="005D3217"/>
    <w:rsid w:val="005D3A02"/>
    <w:rsid w:val="005D402B"/>
    <w:rsid w:val="005D6E7C"/>
    <w:rsid w:val="005E01A6"/>
    <w:rsid w:val="005E12AF"/>
    <w:rsid w:val="005E1B92"/>
    <w:rsid w:val="005E2FA7"/>
    <w:rsid w:val="005E4E16"/>
    <w:rsid w:val="005E4F0B"/>
    <w:rsid w:val="005E602B"/>
    <w:rsid w:val="005E7B6E"/>
    <w:rsid w:val="005F1340"/>
    <w:rsid w:val="005F33BF"/>
    <w:rsid w:val="005F45E2"/>
    <w:rsid w:val="005F5392"/>
    <w:rsid w:val="005F57B3"/>
    <w:rsid w:val="005F79BE"/>
    <w:rsid w:val="00600338"/>
    <w:rsid w:val="006007F0"/>
    <w:rsid w:val="00603396"/>
    <w:rsid w:val="006037B0"/>
    <w:rsid w:val="00607B40"/>
    <w:rsid w:val="00610110"/>
    <w:rsid w:val="00610A59"/>
    <w:rsid w:val="00611DA7"/>
    <w:rsid w:val="006121BE"/>
    <w:rsid w:val="006121C8"/>
    <w:rsid w:val="00612A78"/>
    <w:rsid w:val="00614FF2"/>
    <w:rsid w:val="00616CC8"/>
    <w:rsid w:val="006211A2"/>
    <w:rsid w:val="00623907"/>
    <w:rsid w:val="00624F41"/>
    <w:rsid w:val="0062510E"/>
    <w:rsid w:val="00625A32"/>
    <w:rsid w:val="00627595"/>
    <w:rsid w:val="0063138F"/>
    <w:rsid w:val="006337EA"/>
    <w:rsid w:val="0063540C"/>
    <w:rsid w:val="00635727"/>
    <w:rsid w:val="00640B7B"/>
    <w:rsid w:val="00641509"/>
    <w:rsid w:val="00641F06"/>
    <w:rsid w:val="006445BF"/>
    <w:rsid w:val="0064579B"/>
    <w:rsid w:val="00645925"/>
    <w:rsid w:val="00645E00"/>
    <w:rsid w:val="00652EBF"/>
    <w:rsid w:val="00652ECA"/>
    <w:rsid w:val="00654821"/>
    <w:rsid w:val="00656382"/>
    <w:rsid w:val="00656819"/>
    <w:rsid w:val="00660024"/>
    <w:rsid w:val="00661A71"/>
    <w:rsid w:val="006648E8"/>
    <w:rsid w:val="0066555C"/>
    <w:rsid w:val="0067043F"/>
    <w:rsid w:val="00670824"/>
    <w:rsid w:val="00672DE0"/>
    <w:rsid w:val="006730FF"/>
    <w:rsid w:val="006756FE"/>
    <w:rsid w:val="00675ED7"/>
    <w:rsid w:val="00680F60"/>
    <w:rsid w:val="00684EAD"/>
    <w:rsid w:val="00685032"/>
    <w:rsid w:val="0068707F"/>
    <w:rsid w:val="00691364"/>
    <w:rsid w:val="00693911"/>
    <w:rsid w:val="006957BE"/>
    <w:rsid w:val="006A114B"/>
    <w:rsid w:val="006A35DC"/>
    <w:rsid w:val="006A37DD"/>
    <w:rsid w:val="006A62CC"/>
    <w:rsid w:val="006A6C33"/>
    <w:rsid w:val="006B27A4"/>
    <w:rsid w:val="006B4BB3"/>
    <w:rsid w:val="006B5306"/>
    <w:rsid w:val="006B6834"/>
    <w:rsid w:val="006B79EC"/>
    <w:rsid w:val="006B7A04"/>
    <w:rsid w:val="006C1410"/>
    <w:rsid w:val="006C1495"/>
    <w:rsid w:val="006C1A29"/>
    <w:rsid w:val="006C2508"/>
    <w:rsid w:val="006C3820"/>
    <w:rsid w:val="006C3875"/>
    <w:rsid w:val="006C41BD"/>
    <w:rsid w:val="006C767D"/>
    <w:rsid w:val="006D07BD"/>
    <w:rsid w:val="006D07CC"/>
    <w:rsid w:val="006D123D"/>
    <w:rsid w:val="006D2441"/>
    <w:rsid w:val="006D3186"/>
    <w:rsid w:val="006D3D89"/>
    <w:rsid w:val="006E3E65"/>
    <w:rsid w:val="006E4BE0"/>
    <w:rsid w:val="006E549A"/>
    <w:rsid w:val="006E59DE"/>
    <w:rsid w:val="006E5A09"/>
    <w:rsid w:val="006E642B"/>
    <w:rsid w:val="006E736F"/>
    <w:rsid w:val="006F3AE6"/>
    <w:rsid w:val="006F42EA"/>
    <w:rsid w:val="006F7B87"/>
    <w:rsid w:val="0070021E"/>
    <w:rsid w:val="0070088D"/>
    <w:rsid w:val="00700BD6"/>
    <w:rsid w:val="00701402"/>
    <w:rsid w:val="00701A0A"/>
    <w:rsid w:val="00703717"/>
    <w:rsid w:val="00704884"/>
    <w:rsid w:val="00705BA9"/>
    <w:rsid w:val="00706E60"/>
    <w:rsid w:val="0070780F"/>
    <w:rsid w:val="007137DF"/>
    <w:rsid w:val="00713C8D"/>
    <w:rsid w:val="00714309"/>
    <w:rsid w:val="007167F3"/>
    <w:rsid w:val="00716DAE"/>
    <w:rsid w:val="007202BC"/>
    <w:rsid w:val="00720B5A"/>
    <w:rsid w:val="007302CC"/>
    <w:rsid w:val="00730B54"/>
    <w:rsid w:val="00730B8C"/>
    <w:rsid w:val="00731225"/>
    <w:rsid w:val="007361EF"/>
    <w:rsid w:val="00745A2B"/>
    <w:rsid w:val="007504D8"/>
    <w:rsid w:val="00750EC7"/>
    <w:rsid w:val="00752C0C"/>
    <w:rsid w:val="007535A3"/>
    <w:rsid w:val="00755F41"/>
    <w:rsid w:val="00755F4D"/>
    <w:rsid w:val="0075728F"/>
    <w:rsid w:val="00757411"/>
    <w:rsid w:val="0076370A"/>
    <w:rsid w:val="00763CB2"/>
    <w:rsid w:val="00765D91"/>
    <w:rsid w:val="0076792A"/>
    <w:rsid w:val="00773789"/>
    <w:rsid w:val="00777F9F"/>
    <w:rsid w:val="00780A93"/>
    <w:rsid w:val="00781A7E"/>
    <w:rsid w:val="007864F4"/>
    <w:rsid w:val="00790D19"/>
    <w:rsid w:val="007917DE"/>
    <w:rsid w:val="00792478"/>
    <w:rsid w:val="0079270E"/>
    <w:rsid w:val="00792971"/>
    <w:rsid w:val="00792BF2"/>
    <w:rsid w:val="00794138"/>
    <w:rsid w:val="00794EB3"/>
    <w:rsid w:val="00796D58"/>
    <w:rsid w:val="007A1F61"/>
    <w:rsid w:val="007A2D45"/>
    <w:rsid w:val="007A38FA"/>
    <w:rsid w:val="007A4128"/>
    <w:rsid w:val="007A48F4"/>
    <w:rsid w:val="007B58E1"/>
    <w:rsid w:val="007B65B4"/>
    <w:rsid w:val="007B7B30"/>
    <w:rsid w:val="007B7FF7"/>
    <w:rsid w:val="007C0AFE"/>
    <w:rsid w:val="007C2969"/>
    <w:rsid w:val="007C4EDD"/>
    <w:rsid w:val="007C61B9"/>
    <w:rsid w:val="007C6B16"/>
    <w:rsid w:val="007C785B"/>
    <w:rsid w:val="007D0FF4"/>
    <w:rsid w:val="007D7B36"/>
    <w:rsid w:val="007E131C"/>
    <w:rsid w:val="007E26AB"/>
    <w:rsid w:val="007E2BA4"/>
    <w:rsid w:val="007E2EC5"/>
    <w:rsid w:val="007E7261"/>
    <w:rsid w:val="007F0558"/>
    <w:rsid w:val="007F1859"/>
    <w:rsid w:val="00802A38"/>
    <w:rsid w:val="00803BAC"/>
    <w:rsid w:val="00806A2D"/>
    <w:rsid w:val="00806DC6"/>
    <w:rsid w:val="008079A2"/>
    <w:rsid w:val="00811720"/>
    <w:rsid w:val="00811ED7"/>
    <w:rsid w:val="00813314"/>
    <w:rsid w:val="008136BB"/>
    <w:rsid w:val="0081575A"/>
    <w:rsid w:val="00815E4F"/>
    <w:rsid w:val="00816D05"/>
    <w:rsid w:val="00816F0F"/>
    <w:rsid w:val="008173E2"/>
    <w:rsid w:val="00820128"/>
    <w:rsid w:val="00820AA7"/>
    <w:rsid w:val="00823019"/>
    <w:rsid w:val="0082612D"/>
    <w:rsid w:val="0082641F"/>
    <w:rsid w:val="008275B3"/>
    <w:rsid w:val="008308A2"/>
    <w:rsid w:val="00830DFD"/>
    <w:rsid w:val="0083478A"/>
    <w:rsid w:val="00834B64"/>
    <w:rsid w:val="008351FF"/>
    <w:rsid w:val="00836057"/>
    <w:rsid w:val="008364BA"/>
    <w:rsid w:val="00843075"/>
    <w:rsid w:val="00844E59"/>
    <w:rsid w:val="0084617D"/>
    <w:rsid w:val="00846326"/>
    <w:rsid w:val="00846A5C"/>
    <w:rsid w:val="008478A4"/>
    <w:rsid w:val="0085106A"/>
    <w:rsid w:val="0085677F"/>
    <w:rsid w:val="00857F26"/>
    <w:rsid w:val="008630B6"/>
    <w:rsid w:val="0086347D"/>
    <w:rsid w:val="008636C3"/>
    <w:rsid w:val="00865361"/>
    <w:rsid w:val="00866C15"/>
    <w:rsid w:val="0087518D"/>
    <w:rsid w:val="00876797"/>
    <w:rsid w:val="0088297F"/>
    <w:rsid w:val="00882FE5"/>
    <w:rsid w:val="00885403"/>
    <w:rsid w:val="0088737D"/>
    <w:rsid w:val="00890D8A"/>
    <w:rsid w:val="00894373"/>
    <w:rsid w:val="00896991"/>
    <w:rsid w:val="008A03EE"/>
    <w:rsid w:val="008A0624"/>
    <w:rsid w:val="008A0EFA"/>
    <w:rsid w:val="008A42A9"/>
    <w:rsid w:val="008A45B8"/>
    <w:rsid w:val="008A4F51"/>
    <w:rsid w:val="008B32E9"/>
    <w:rsid w:val="008B6414"/>
    <w:rsid w:val="008C235E"/>
    <w:rsid w:val="008C2D1A"/>
    <w:rsid w:val="008C4728"/>
    <w:rsid w:val="008C7A01"/>
    <w:rsid w:val="008D0698"/>
    <w:rsid w:val="008D0CF9"/>
    <w:rsid w:val="008D0DDD"/>
    <w:rsid w:val="008D2A23"/>
    <w:rsid w:val="008D41EC"/>
    <w:rsid w:val="008D42EE"/>
    <w:rsid w:val="008D5411"/>
    <w:rsid w:val="008D56B9"/>
    <w:rsid w:val="008D58D0"/>
    <w:rsid w:val="008D6091"/>
    <w:rsid w:val="008D7C0B"/>
    <w:rsid w:val="008E1CB6"/>
    <w:rsid w:val="008E2041"/>
    <w:rsid w:val="008E26DD"/>
    <w:rsid w:val="008E2DAD"/>
    <w:rsid w:val="008E4580"/>
    <w:rsid w:val="008E510B"/>
    <w:rsid w:val="008E53BA"/>
    <w:rsid w:val="008E5D7F"/>
    <w:rsid w:val="008E687F"/>
    <w:rsid w:val="008E6FA0"/>
    <w:rsid w:val="008F1126"/>
    <w:rsid w:val="008F28C7"/>
    <w:rsid w:val="008F320B"/>
    <w:rsid w:val="008F727D"/>
    <w:rsid w:val="00904E53"/>
    <w:rsid w:val="009070CB"/>
    <w:rsid w:val="009112D3"/>
    <w:rsid w:val="00911770"/>
    <w:rsid w:val="0091336A"/>
    <w:rsid w:val="00914D84"/>
    <w:rsid w:val="00916B61"/>
    <w:rsid w:val="009171FC"/>
    <w:rsid w:val="0092125E"/>
    <w:rsid w:val="00921389"/>
    <w:rsid w:val="00925AA0"/>
    <w:rsid w:val="00927DF8"/>
    <w:rsid w:val="00930C4B"/>
    <w:rsid w:val="009319A1"/>
    <w:rsid w:val="00935C72"/>
    <w:rsid w:val="00935F7F"/>
    <w:rsid w:val="009362C8"/>
    <w:rsid w:val="0093632E"/>
    <w:rsid w:val="009363C5"/>
    <w:rsid w:val="0093751E"/>
    <w:rsid w:val="0093792D"/>
    <w:rsid w:val="009444A9"/>
    <w:rsid w:val="009444D7"/>
    <w:rsid w:val="0094594B"/>
    <w:rsid w:val="0095020C"/>
    <w:rsid w:val="009514F8"/>
    <w:rsid w:val="00952401"/>
    <w:rsid w:val="00952C5F"/>
    <w:rsid w:val="00957C48"/>
    <w:rsid w:val="00961F14"/>
    <w:rsid w:val="00961F34"/>
    <w:rsid w:val="00963331"/>
    <w:rsid w:val="009657FC"/>
    <w:rsid w:val="00967114"/>
    <w:rsid w:val="00967BD3"/>
    <w:rsid w:val="00974F49"/>
    <w:rsid w:val="00975705"/>
    <w:rsid w:val="009765EF"/>
    <w:rsid w:val="00976674"/>
    <w:rsid w:val="00977553"/>
    <w:rsid w:val="009810B4"/>
    <w:rsid w:val="00981893"/>
    <w:rsid w:val="00981894"/>
    <w:rsid w:val="00983E8E"/>
    <w:rsid w:val="00984547"/>
    <w:rsid w:val="00986044"/>
    <w:rsid w:val="00986568"/>
    <w:rsid w:val="00987275"/>
    <w:rsid w:val="00987DE8"/>
    <w:rsid w:val="009925CA"/>
    <w:rsid w:val="009928AE"/>
    <w:rsid w:val="00993D08"/>
    <w:rsid w:val="00996200"/>
    <w:rsid w:val="0099784A"/>
    <w:rsid w:val="009A0358"/>
    <w:rsid w:val="009A0FE1"/>
    <w:rsid w:val="009A120B"/>
    <w:rsid w:val="009A4CAE"/>
    <w:rsid w:val="009A4F49"/>
    <w:rsid w:val="009A7918"/>
    <w:rsid w:val="009A7F2D"/>
    <w:rsid w:val="009B0901"/>
    <w:rsid w:val="009B0A33"/>
    <w:rsid w:val="009B615F"/>
    <w:rsid w:val="009B6A32"/>
    <w:rsid w:val="009B779F"/>
    <w:rsid w:val="009C0C02"/>
    <w:rsid w:val="009C3410"/>
    <w:rsid w:val="009C3E1D"/>
    <w:rsid w:val="009C4BB4"/>
    <w:rsid w:val="009C5750"/>
    <w:rsid w:val="009C69A9"/>
    <w:rsid w:val="009D38C7"/>
    <w:rsid w:val="009D3F8B"/>
    <w:rsid w:val="009D4D5F"/>
    <w:rsid w:val="009E003E"/>
    <w:rsid w:val="009E109A"/>
    <w:rsid w:val="009E4281"/>
    <w:rsid w:val="009E58F4"/>
    <w:rsid w:val="009E5F66"/>
    <w:rsid w:val="009E6EAC"/>
    <w:rsid w:val="009E7694"/>
    <w:rsid w:val="009F02F4"/>
    <w:rsid w:val="009F25A6"/>
    <w:rsid w:val="009F39BD"/>
    <w:rsid w:val="009F5088"/>
    <w:rsid w:val="009F526E"/>
    <w:rsid w:val="009F52D8"/>
    <w:rsid w:val="009F5591"/>
    <w:rsid w:val="009F7CA5"/>
    <w:rsid w:val="00A00444"/>
    <w:rsid w:val="00A01D76"/>
    <w:rsid w:val="00A051F8"/>
    <w:rsid w:val="00A105F6"/>
    <w:rsid w:val="00A13139"/>
    <w:rsid w:val="00A152A9"/>
    <w:rsid w:val="00A15642"/>
    <w:rsid w:val="00A17F44"/>
    <w:rsid w:val="00A22A78"/>
    <w:rsid w:val="00A23BA1"/>
    <w:rsid w:val="00A25308"/>
    <w:rsid w:val="00A30F88"/>
    <w:rsid w:val="00A32A27"/>
    <w:rsid w:val="00A34D74"/>
    <w:rsid w:val="00A42B1C"/>
    <w:rsid w:val="00A432F9"/>
    <w:rsid w:val="00A43E6F"/>
    <w:rsid w:val="00A4459A"/>
    <w:rsid w:val="00A44A87"/>
    <w:rsid w:val="00A45164"/>
    <w:rsid w:val="00A45D6F"/>
    <w:rsid w:val="00A46894"/>
    <w:rsid w:val="00A46E00"/>
    <w:rsid w:val="00A52104"/>
    <w:rsid w:val="00A563F9"/>
    <w:rsid w:val="00A56B9E"/>
    <w:rsid w:val="00A62AD7"/>
    <w:rsid w:val="00A62B03"/>
    <w:rsid w:val="00A64F7F"/>
    <w:rsid w:val="00A6562E"/>
    <w:rsid w:val="00A678F7"/>
    <w:rsid w:val="00A67EFF"/>
    <w:rsid w:val="00A720C7"/>
    <w:rsid w:val="00A72EF1"/>
    <w:rsid w:val="00A738EB"/>
    <w:rsid w:val="00A75710"/>
    <w:rsid w:val="00A7629B"/>
    <w:rsid w:val="00A80CF0"/>
    <w:rsid w:val="00A8141A"/>
    <w:rsid w:val="00A84D1C"/>
    <w:rsid w:val="00A86D29"/>
    <w:rsid w:val="00A92E9C"/>
    <w:rsid w:val="00AA0627"/>
    <w:rsid w:val="00AA07D3"/>
    <w:rsid w:val="00AA2EBE"/>
    <w:rsid w:val="00AA315F"/>
    <w:rsid w:val="00AA3D63"/>
    <w:rsid w:val="00AA4649"/>
    <w:rsid w:val="00AB412A"/>
    <w:rsid w:val="00AB5508"/>
    <w:rsid w:val="00AB7355"/>
    <w:rsid w:val="00AB73BC"/>
    <w:rsid w:val="00AC0226"/>
    <w:rsid w:val="00AC0F1C"/>
    <w:rsid w:val="00AC2367"/>
    <w:rsid w:val="00AC2C36"/>
    <w:rsid w:val="00AC3164"/>
    <w:rsid w:val="00AC5503"/>
    <w:rsid w:val="00AC551E"/>
    <w:rsid w:val="00AD18BF"/>
    <w:rsid w:val="00AD1D8B"/>
    <w:rsid w:val="00AD23C7"/>
    <w:rsid w:val="00AD32A9"/>
    <w:rsid w:val="00AD5341"/>
    <w:rsid w:val="00AD686D"/>
    <w:rsid w:val="00AD79AA"/>
    <w:rsid w:val="00AE0603"/>
    <w:rsid w:val="00AE282B"/>
    <w:rsid w:val="00AE30A1"/>
    <w:rsid w:val="00AE37C3"/>
    <w:rsid w:val="00AE3A98"/>
    <w:rsid w:val="00AE7CDE"/>
    <w:rsid w:val="00AF0336"/>
    <w:rsid w:val="00AF09F1"/>
    <w:rsid w:val="00AF2FC6"/>
    <w:rsid w:val="00AF3A6A"/>
    <w:rsid w:val="00AF53D9"/>
    <w:rsid w:val="00B0043F"/>
    <w:rsid w:val="00B00A8C"/>
    <w:rsid w:val="00B02181"/>
    <w:rsid w:val="00B0361C"/>
    <w:rsid w:val="00B048BB"/>
    <w:rsid w:val="00B05636"/>
    <w:rsid w:val="00B070A9"/>
    <w:rsid w:val="00B07C4A"/>
    <w:rsid w:val="00B1126A"/>
    <w:rsid w:val="00B12A6E"/>
    <w:rsid w:val="00B14FC5"/>
    <w:rsid w:val="00B161FE"/>
    <w:rsid w:val="00B1791F"/>
    <w:rsid w:val="00B23C84"/>
    <w:rsid w:val="00B25BE4"/>
    <w:rsid w:val="00B26653"/>
    <w:rsid w:val="00B32041"/>
    <w:rsid w:val="00B33538"/>
    <w:rsid w:val="00B33B73"/>
    <w:rsid w:val="00B34014"/>
    <w:rsid w:val="00B3671B"/>
    <w:rsid w:val="00B36B17"/>
    <w:rsid w:val="00B37703"/>
    <w:rsid w:val="00B43E39"/>
    <w:rsid w:val="00B45035"/>
    <w:rsid w:val="00B45F02"/>
    <w:rsid w:val="00B50FAD"/>
    <w:rsid w:val="00B529A5"/>
    <w:rsid w:val="00B5559D"/>
    <w:rsid w:val="00B5708D"/>
    <w:rsid w:val="00B57AAF"/>
    <w:rsid w:val="00B6032D"/>
    <w:rsid w:val="00B60AD8"/>
    <w:rsid w:val="00B61371"/>
    <w:rsid w:val="00B636E4"/>
    <w:rsid w:val="00B63C99"/>
    <w:rsid w:val="00B6402A"/>
    <w:rsid w:val="00B64CD0"/>
    <w:rsid w:val="00B64F14"/>
    <w:rsid w:val="00B655A0"/>
    <w:rsid w:val="00B7223B"/>
    <w:rsid w:val="00B735A8"/>
    <w:rsid w:val="00B73947"/>
    <w:rsid w:val="00B75FFA"/>
    <w:rsid w:val="00B77225"/>
    <w:rsid w:val="00B77656"/>
    <w:rsid w:val="00B80293"/>
    <w:rsid w:val="00B841E4"/>
    <w:rsid w:val="00B84FAD"/>
    <w:rsid w:val="00B8516A"/>
    <w:rsid w:val="00B87564"/>
    <w:rsid w:val="00B9267C"/>
    <w:rsid w:val="00B934C0"/>
    <w:rsid w:val="00B97DC3"/>
    <w:rsid w:val="00BA09D9"/>
    <w:rsid w:val="00BA1D88"/>
    <w:rsid w:val="00BA22FD"/>
    <w:rsid w:val="00BA6D53"/>
    <w:rsid w:val="00BA7404"/>
    <w:rsid w:val="00BA7FB0"/>
    <w:rsid w:val="00BB0F2F"/>
    <w:rsid w:val="00BB1596"/>
    <w:rsid w:val="00BB1706"/>
    <w:rsid w:val="00BB277D"/>
    <w:rsid w:val="00BB2E19"/>
    <w:rsid w:val="00BB337A"/>
    <w:rsid w:val="00BB4CB9"/>
    <w:rsid w:val="00BB5767"/>
    <w:rsid w:val="00BC5285"/>
    <w:rsid w:val="00BD0623"/>
    <w:rsid w:val="00BD0BCD"/>
    <w:rsid w:val="00BD1D3D"/>
    <w:rsid w:val="00BD20A2"/>
    <w:rsid w:val="00BD5042"/>
    <w:rsid w:val="00BD54EF"/>
    <w:rsid w:val="00BE7290"/>
    <w:rsid w:val="00BE739C"/>
    <w:rsid w:val="00BF0453"/>
    <w:rsid w:val="00BF08DC"/>
    <w:rsid w:val="00BF474C"/>
    <w:rsid w:val="00C00921"/>
    <w:rsid w:val="00C01400"/>
    <w:rsid w:val="00C0171D"/>
    <w:rsid w:val="00C041FF"/>
    <w:rsid w:val="00C04A0E"/>
    <w:rsid w:val="00C051FA"/>
    <w:rsid w:val="00C10716"/>
    <w:rsid w:val="00C13089"/>
    <w:rsid w:val="00C17FAC"/>
    <w:rsid w:val="00C26397"/>
    <w:rsid w:val="00C31150"/>
    <w:rsid w:val="00C339C9"/>
    <w:rsid w:val="00C33C8B"/>
    <w:rsid w:val="00C36A82"/>
    <w:rsid w:val="00C36FC3"/>
    <w:rsid w:val="00C37204"/>
    <w:rsid w:val="00C40D54"/>
    <w:rsid w:val="00C47D7D"/>
    <w:rsid w:val="00C514BE"/>
    <w:rsid w:val="00C52188"/>
    <w:rsid w:val="00C56C3B"/>
    <w:rsid w:val="00C57086"/>
    <w:rsid w:val="00C61DE2"/>
    <w:rsid w:val="00C64E34"/>
    <w:rsid w:val="00C672BB"/>
    <w:rsid w:val="00C725FA"/>
    <w:rsid w:val="00C726F7"/>
    <w:rsid w:val="00C744A3"/>
    <w:rsid w:val="00C8129F"/>
    <w:rsid w:val="00C81D75"/>
    <w:rsid w:val="00C81E68"/>
    <w:rsid w:val="00C81F59"/>
    <w:rsid w:val="00C832EB"/>
    <w:rsid w:val="00C842A2"/>
    <w:rsid w:val="00C85CBC"/>
    <w:rsid w:val="00CA0EBF"/>
    <w:rsid w:val="00CA40C6"/>
    <w:rsid w:val="00CA5A1B"/>
    <w:rsid w:val="00CB33FA"/>
    <w:rsid w:val="00CB5305"/>
    <w:rsid w:val="00CB5424"/>
    <w:rsid w:val="00CB5C2A"/>
    <w:rsid w:val="00CB5E7C"/>
    <w:rsid w:val="00CB5FF7"/>
    <w:rsid w:val="00CB6767"/>
    <w:rsid w:val="00CB7959"/>
    <w:rsid w:val="00CB7EFB"/>
    <w:rsid w:val="00CC4B27"/>
    <w:rsid w:val="00CC5C88"/>
    <w:rsid w:val="00CC67EF"/>
    <w:rsid w:val="00CC69E2"/>
    <w:rsid w:val="00CD0070"/>
    <w:rsid w:val="00CD0C87"/>
    <w:rsid w:val="00CD2AB7"/>
    <w:rsid w:val="00CD3144"/>
    <w:rsid w:val="00CD4C05"/>
    <w:rsid w:val="00CD7776"/>
    <w:rsid w:val="00CE0202"/>
    <w:rsid w:val="00CE3BE3"/>
    <w:rsid w:val="00CE467B"/>
    <w:rsid w:val="00CE4FCB"/>
    <w:rsid w:val="00CE69AA"/>
    <w:rsid w:val="00CE6F7B"/>
    <w:rsid w:val="00CF008C"/>
    <w:rsid w:val="00CF2962"/>
    <w:rsid w:val="00CF4265"/>
    <w:rsid w:val="00CF5E07"/>
    <w:rsid w:val="00CF62D1"/>
    <w:rsid w:val="00CF7B8A"/>
    <w:rsid w:val="00D01C76"/>
    <w:rsid w:val="00D04118"/>
    <w:rsid w:val="00D05F7C"/>
    <w:rsid w:val="00D0666C"/>
    <w:rsid w:val="00D12C75"/>
    <w:rsid w:val="00D1413D"/>
    <w:rsid w:val="00D1558C"/>
    <w:rsid w:val="00D1613E"/>
    <w:rsid w:val="00D16A2D"/>
    <w:rsid w:val="00D173CA"/>
    <w:rsid w:val="00D21680"/>
    <w:rsid w:val="00D22D0A"/>
    <w:rsid w:val="00D234CA"/>
    <w:rsid w:val="00D245A3"/>
    <w:rsid w:val="00D2749F"/>
    <w:rsid w:val="00D31749"/>
    <w:rsid w:val="00D31D53"/>
    <w:rsid w:val="00D32531"/>
    <w:rsid w:val="00D33B77"/>
    <w:rsid w:val="00D40CC8"/>
    <w:rsid w:val="00D40EB2"/>
    <w:rsid w:val="00D4221F"/>
    <w:rsid w:val="00D4232F"/>
    <w:rsid w:val="00D439A5"/>
    <w:rsid w:val="00D473D9"/>
    <w:rsid w:val="00D5015C"/>
    <w:rsid w:val="00D50239"/>
    <w:rsid w:val="00D50442"/>
    <w:rsid w:val="00D50EC2"/>
    <w:rsid w:val="00D51390"/>
    <w:rsid w:val="00D5158B"/>
    <w:rsid w:val="00D515AC"/>
    <w:rsid w:val="00D52C71"/>
    <w:rsid w:val="00D55E7D"/>
    <w:rsid w:val="00D576A4"/>
    <w:rsid w:val="00D57E6D"/>
    <w:rsid w:val="00D60C50"/>
    <w:rsid w:val="00D62E8F"/>
    <w:rsid w:val="00D64F0A"/>
    <w:rsid w:val="00D7277C"/>
    <w:rsid w:val="00D75565"/>
    <w:rsid w:val="00D75EA6"/>
    <w:rsid w:val="00D7633B"/>
    <w:rsid w:val="00D77790"/>
    <w:rsid w:val="00D80FAD"/>
    <w:rsid w:val="00D81FD8"/>
    <w:rsid w:val="00D82676"/>
    <w:rsid w:val="00D8449E"/>
    <w:rsid w:val="00D84D8B"/>
    <w:rsid w:val="00D8610E"/>
    <w:rsid w:val="00D86B43"/>
    <w:rsid w:val="00D86D47"/>
    <w:rsid w:val="00D87832"/>
    <w:rsid w:val="00D90FB4"/>
    <w:rsid w:val="00D959BA"/>
    <w:rsid w:val="00DA0CC2"/>
    <w:rsid w:val="00DA0D62"/>
    <w:rsid w:val="00DA1252"/>
    <w:rsid w:val="00DA21AB"/>
    <w:rsid w:val="00DA2FF2"/>
    <w:rsid w:val="00DA4E2E"/>
    <w:rsid w:val="00DA5259"/>
    <w:rsid w:val="00DA76C3"/>
    <w:rsid w:val="00DB5781"/>
    <w:rsid w:val="00DC1038"/>
    <w:rsid w:val="00DC10E6"/>
    <w:rsid w:val="00DC2566"/>
    <w:rsid w:val="00DC53CC"/>
    <w:rsid w:val="00DD032A"/>
    <w:rsid w:val="00DD1B6A"/>
    <w:rsid w:val="00DD2FE1"/>
    <w:rsid w:val="00DD3756"/>
    <w:rsid w:val="00DD3F45"/>
    <w:rsid w:val="00DD52DA"/>
    <w:rsid w:val="00DD55F8"/>
    <w:rsid w:val="00DE33FC"/>
    <w:rsid w:val="00DE3ECA"/>
    <w:rsid w:val="00DE648F"/>
    <w:rsid w:val="00DF134D"/>
    <w:rsid w:val="00DF2156"/>
    <w:rsid w:val="00DF2971"/>
    <w:rsid w:val="00DF31E1"/>
    <w:rsid w:val="00DF3342"/>
    <w:rsid w:val="00DF6751"/>
    <w:rsid w:val="00DF7B82"/>
    <w:rsid w:val="00E07389"/>
    <w:rsid w:val="00E107BD"/>
    <w:rsid w:val="00E20305"/>
    <w:rsid w:val="00E21D15"/>
    <w:rsid w:val="00E21F5F"/>
    <w:rsid w:val="00E2339A"/>
    <w:rsid w:val="00E23F23"/>
    <w:rsid w:val="00E25CC5"/>
    <w:rsid w:val="00E2664C"/>
    <w:rsid w:val="00E275B0"/>
    <w:rsid w:val="00E302F0"/>
    <w:rsid w:val="00E30668"/>
    <w:rsid w:val="00E31099"/>
    <w:rsid w:val="00E31459"/>
    <w:rsid w:val="00E3415C"/>
    <w:rsid w:val="00E3733D"/>
    <w:rsid w:val="00E37FF8"/>
    <w:rsid w:val="00E4610F"/>
    <w:rsid w:val="00E462C5"/>
    <w:rsid w:val="00E46389"/>
    <w:rsid w:val="00E5020A"/>
    <w:rsid w:val="00E53D03"/>
    <w:rsid w:val="00E547DA"/>
    <w:rsid w:val="00E558D3"/>
    <w:rsid w:val="00E57142"/>
    <w:rsid w:val="00E600EA"/>
    <w:rsid w:val="00E605DB"/>
    <w:rsid w:val="00E60B68"/>
    <w:rsid w:val="00E6212B"/>
    <w:rsid w:val="00E62A16"/>
    <w:rsid w:val="00E63249"/>
    <w:rsid w:val="00E64022"/>
    <w:rsid w:val="00E660ED"/>
    <w:rsid w:val="00E7012A"/>
    <w:rsid w:val="00E72681"/>
    <w:rsid w:val="00E72898"/>
    <w:rsid w:val="00E75D4E"/>
    <w:rsid w:val="00E75E29"/>
    <w:rsid w:val="00E77832"/>
    <w:rsid w:val="00E80BE1"/>
    <w:rsid w:val="00E8267A"/>
    <w:rsid w:val="00E8283B"/>
    <w:rsid w:val="00E84B41"/>
    <w:rsid w:val="00E857EF"/>
    <w:rsid w:val="00E87143"/>
    <w:rsid w:val="00E90E1A"/>
    <w:rsid w:val="00E94325"/>
    <w:rsid w:val="00E947C8"/>
    <w:rsid w:val="00EA1AD0"/>
    <w:rsid w:val="00EA57EB"/>
    <w:rsid w:val="00EA7B93"/>
    <w:rsid w:val="00EB0C11"/>
    <w:rsid w:val="00EB152E"/>
    <w:rsid w:val="00EB1CF5"/>
    <w:rsid w:val="00EB33FC"/>
    <w:rsid w:val="00EB3F34"/>
    <w:rsid w:val="00EB5704"/>
    <w:rsid w:val="00EB6768"/>
    <w:rsid w:val="00EC073F"/>
    <w:rsid w:val="00EC09E1"/>
    <w:rsid w:val="00EC3ABC"/>
    <w:rsid w:val="00EC3B7D"/>
    <w:rsid w:val="00EC45F8"/>
    <w:rsid w:val="00EC4F9F"/>
    <w:rsid w:val="00EC6B42"/>
    <w:rsid w:val="00EC7A61"/>
    <w:rsid w:val="00ED0AFA"/>
    <w:rsid w:val="00ED3742"/>
    <w:rsid w:val="00ED3C4D"/>
    <w:rsid w:val="00ED5720"/>
    <w:rsid w:val="00EE0669"/>
    <w:rsid w:val="00EE0E78"/>
    <w:rsid w:val="00EE3AC7"/>
    <w:rsid w:val="00EE46F4"/>
    <w:rsid w:val="00EE5AB3"/>
    <w:rsid w:val="00EE6FDF"/>
    <w:rsid w:val="00EF1809"/>
    <w:rsid w:val="00EF4019"/>
    <w:rsid w:val="00EF5840"/>
    <w:rsid w:val="00EF5A17"/>
    <w:rsid w:val="00F02681"/>
    <w:rsid w:val="00F05820"/>
    <w:rsid w:val="00F12053"/>
    <w:rsid w:val="00F12A59"/>
    <w:rsid w:val="00F147AC"/>
    <w:rsid w:val="00F15F85"/>
    <w:rsid w:val="00F1742F"/>
    <w:rsid w:val="00F2085B"/>
    <w:rsid w:val="00F20B29"/>
    <w:rsid w:val="00F23B51"/>
    <w:rsid w:val="00F271F7"/>
    <w:rsid w:val="00F30B35"/>
    <w:rsid w:val="00F30FC3"/>
    <w:rsid w:val="00F31FDB"/>
    <w:rsid w:val="00F3275C"/>
    <w:rsid w:val="00F337B3"/>
    <w:rsid w:val="00F36AFE"/>
    <w:rsid w:val="00F376A1"/>
    <w:rsid w:val="00F37DD4"/>
    <w:rsid w:val="00F4013C"/>
    <w:rsid w:val="00F42BB1"/>
    <w:rsid w:val="00F42BD4"/>
    <w:rsid w:val="00F42D4A"/>
    <w:rsid w:val="00F438C0"/>
    <w:rsid w:val="00F43ED4"/>
    <w:rsid w:val="00F50030"/>
    <w:rsid w:val="00F518AB"/>
    <w:rsid w:val="00F53BCE"/>
    <w:rsid w:val="00F55E71"/>
    <w:rsid w:val="00F569A2"/>
    <w:rsid w:val="00F57542"/>
    <w:rsid w:val="00F60173"/>
    <w:rsid w:val="00F67436"/>
    <w:rsid w:val="00F67684"/>
    <w:rsid w:val="00F70CD6"/>
    <w:rsid w:val="00F72063"/>
    <w:rsid w:val="00F72340"/>
    <w:rsid w:val="00F73EB9"/>
    <w:rsid w:val="00F741B2"/>
    <w:rsid w:val="00F8039E"/>
    <w:rsid w:val="00F82123"/>
    <w:rsid w:val="00F837A0"/>
    <w:rsid w:val="00F84CE4"/>
    <w:rsid w:val="00F84D57"/>
    <w:rsid w:val="00F84FE1"/>
    <w:rsid w:val="00F8503E"/>
    <w:rsid w:val="00F85071"/>
    <w:rsid w:val="00F855C8"/>
    <w:rsid w:val="00F9462B"/>
    <w:rsid w:val="00FA00CB"/>
    <w:rsid w:val="00FA0557"/>
    <w:rsid w:val="00FA153E"/>
    <w:rsid w:val="00FA2722"/>
    <w:rsid w:val="00FA2A06"/>
    <w:rsid w:val="00FA2F83"/>
    <w:rsid w:val="00FA306D"/>
    <w:rsid w:val="00FA36FE"/>
    <w:rsid w:val="00FA4F92"/>
    <w:rsid w:val="00FA5A24"/>
    <w:rsid w:val="00FB039F"/>
    <w:rsid w:val="00FB3BD9"/>
    <w:rsid w:val="00FB521E"/>
    <w:rsid w:val="00FB575E"/>
    <w:rsid w:val="00FB5E93"/>
    <w:rsid w:val="00FC2664"/>
    <w:rsid w:val="00FC2A96"/>
    <w:rsid w:val="00FC301F"/>
    <w:rsid w:val="00FC3CF5"/>
    <w:rsid w:val="00FC5869"/>
    <w:rsid w:val="00FC7931"/>
    <w:rsid w:val="00FD3206"/>
    <w:rsid w:val="00FD338A"/>
    <w:rsid w:val="00FD6703"/>
    <w:rsid w:val="00FE0315"/>
    <w:rsid w:val="00FE0DA9"/>
    <w:rsid w:val="00FE35C4"/>
    <w:rsid w:val="00FE57D9"/>
    <w:rsid w:val="00FE756E"/>
    <w:rsid w:val="00FF1EEF"/>
    <w:rsid w:val="00FF26EE"/>
    <w:rsid w:val="00FF2BB3"/>
    <w:rsid w:val="00FF3EBF"/>
    <w:rsid w:val="00FF40D8"/>
    <w:rsid w:val="00FF6C83"/>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link w:val="B1Zchn"/>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character" w:customStyle="1" w:styleId="Doc-text2Char">
    <w:name w:val="Doc-text2 Char"/>
    <w:link w:val="Doc-text2"/>
    <w:qFormat/>
    <w:rsid w:val="00E62A16"/>
    <w:rPr>
      <w:rFonts w:ascii="Arial" w:eastAsia="MS Mincho" w:hAnsi="Arial"/>
      <w:lang w:val="en-GB" w:eastAsia="en-GB"/>
    </w:rPr>
  </w:style>
  <w:style w:type="paragraph" w:customStyle="1" w:styleId="CRCoverPage">
    <w:name w:val="CR Cover Page"/>
    <w:link w:val="CRCoverPageZchn"/>
    <w:qFormat/>
    <w:rsid w:val="00FF6C83"/>
    <w:pPr>
      <w:spacing w:after="120"/>
    </w:pPr>
    <w:rPr>
      <w:rFonts w:ascii="Arial" w:eastAsiaTheme="minorEastAsia" w:hAnsi="Arial"/>
      <w:lang w:val="en-GB" w:eastAsia="en-US"/>
    </w:rPr>
  </w:style>
  <w:style w:type="character" w:customStyle="1" w:styleId="CRCoverPageZchn">
    <w:name w:val="CR Cover Page Zchn"/>
    <w:link w:val="CRCoverPage"/>
    <w:qFormat/>
    <w:rsid w:val="00FF6C83"/>
    <w:rPr>
      <w:rFonts w:ascii="Arial" w:eastAsiaTheme="minorEastAsia" w:hAnsi="Arial"/>
      <w:lang w:val="en-GB" w:eastAsia="en-US"/>
    </w:rPr>
  </w:style>
  <w:style w:type="paragraph" w:customStyle="1" w:styleId="B2">
    <w:name w:val="B2"/>
    <w:basedOn w:val="21"/>
    <w:link w:val="B2Char"/>
    <w:qFormat/>
    <w:rsid w:val="00C17FAC"/>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C17FAC"/>
    <w:rPr>
      <w:rFonts w:eastAsia="Times New Roman"/>
      <w:lang w:val="en-GB" w:eastAsia="ja-JP"/>
    </w:rPr>
  </w:style>
  <w:style w:type="paragraph" w:customStyle="1" w:styleId="B3">
    <w:name w:val="B3"/>
    <w:basedOn w:val="31"/>
    <w:link w:val="B3Char2"/>
    <w:qFormat/>
    <w:rsid w:val="00C17FAC"/>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C17FAC"/>
    <w:rPr>
      <w:rFonts w:eastAsia="Times New Roman"/>
      <w:lang w:val="en-GB" w:eastAsia="ja-JP"/>
    </w:rPr>
  </w:style>
  <w:style w:type="paragraph" w:styleId="21">
    <w:name w:val="List 2"/>
    <w:basedOn w:val="a"/>
    <w:rsid w:val="00C17FAC"/>
    <w:pPr>
      <w:ind w:leftChars="200" w:left="100" w:hangingChars="200" w:hanging="200"/>
      <w:contextualSpacing/>
    </w:pPr>
  </w:style>
  <w:style w:type="paragraph" w:styleId="31">
    <w:name w:val="List 3"/>
    <w:basedOn w:val="a"/>
    <w:rsid w:val="00C17FAC"/>
    <w:pPr>
      <w:ind w:leftChars="400" w:left="100" w:hangingChars="200" w:hanging="200"/>
      <w:contextualSpacing/>
    </w:pPr>
  </w:style>
  <w:style w:type="character" w:customStyle="1" w:styleId="TACChar">
    <w:name w:val="TAC Char"/>
    <w:link w:val="TAC"/>
    <w:qFormat/>
    <w:locked/>
    <w:rsid w:val="008E53BA"/>
    <w:rPr>
      <w:rFonts w:ascii="Arial" w:hAnsi="Arial" w:cs="Arial"/>
      <w:sz w:val="18"/>
      <w:lang w:val="x-none" w:eastAsia="en-US"/>
    </w:rPr>
  </w:style>
  <w:style w:type="paragraph" w:customStyle="1" w:styleId="TAC">
    <w:name w:val="TAC"/>
    <w:basedOn w:val="a"/>
    <w:link w:val="TACChar"/>
    <w:qFormat/>
    <w:rsid w:val="008E53BA"/>
    <w:pPr>
      <w:keepNext/>
      <w:keepLines/>
      <w:overflowPunct/>
      <w:autoSpaceDE/>
      <w:autoSpaceDN/>
      <w:adjustRightInd/>
      <w:spacing w:after="0" w:line="240" w:lineRule="auto"/>
      <w:jc w:val="center"/>
      <w:textAlignment w:val="auto"/>
    </w:pPr>
    <w:rPr>
      <w:rFonts w:ascii="Arial" w:hAnsi="Arial" w:cs="Arial"/>
      <w:sz w:val="18"/>
      <w:lang w:val="x-none" w:eastAsia="en-US"/>
    </w:rPr>
  </w:style>
  <w:style w:type="character" w:customStyle="1" w:styleId="B1Zchn">
    <w:name w:val="B1 Zchn"/>
    <w:link w:val="B1"/>
    <w:qFormat/>
    <w:locked/>
    <w:rsid w:val="008E53BA"/>
    <w:rPr>
      <w:sz w:val="24"/>
      <w:szCs w:val="24"/>
    </w:rPr>
  </w:style>
  <w:style w:type="character" w:customStyle="1" w:styleId="THChar">
    <w:name w:val="TH Char"/>
    <w:link w:val="TH"/>
    <w:qFormat/>
    <w:locked/>
    <w:rsid w:val="008E53BA"/>
    <w:rPr>
      <w:rFonts w:ascii="Arial" w:hAnsi="Arial" w:cs="Arial"/>
      <w:b/>
      <w:lang w:val="x-none" w:eastAsia="en-US"/>
    </w:rPr>
  </w:style>
  <w:style w:type="paragraph" w:customStyle="1" w:styleId="TH">
    <w:name w:val="TH"/>
    <w:basedOn w:val="a"/>
    <w:link w:val="THChar"/>
    <w:qFormat/>
    <w:rsid w:val="008E53BA"/>
    <w:pPr>
      <w:keepNext/>
      <w:keepLines/>
      <w:overflowPunct/>
      <w:autoSpaceDE/>
      <w:autoSpaceDN/>
      <w:adjustRightInd/>
      <w:spacing w:before="60" w:after="180" w:line="240" w:lineRule="auto"/>
      <w:jc w:val="center"/>
      <w:textAlignment w:val="auto"/>
    </w:pPr>
    <w:rPr>
      <w:rFonts w:ascii="Arial" w:hAnsi="Arial" w:cs="Arial"/>
      <w:b/>
      <w:sz w:val="20"/>
      <w:lang w:val="x-none" w:eastAsia="en-US"/>
    </w:rPr>
  </w:style>
  <w:style w:type="paragraph" w:customStyle="1" w:styleId="TAH">
    <w:name w:val="TAH"/>
    <w:basedOn w:val="TAC"/>
    <w:link w:val="TAHCar"/>
    <w:qFormat/>
    <w:rsid w:val="008E53BA"/>
    <w:rPr>
      <w:b/>
    </w:rPr>
  </w:style>
  <w:style w:type="character" w:customStyle="1" w:styleId="TAHCar">
    <w:name w:val="TAH Car"/>
    <w:link w:val="TAH"/>
    <w:qFormat/>
    <w:locked/>
    <w:rsid w:val="008E53BA"/>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7750">
      <w:bodyDiv w:val="1"/>
      <w:marLeft w:val="0"/>
      <w:marRight w:val="0"/>
      <w:marTop w:val="0"/>
      <w:marBottom w:val="0"/>
      <w:divBdr>
        <w:top w:val="none" w:sz="0" w:space="0" w:color="auto"/>
        <w:left w:val="none" w:sz="0" w:space="0" w:color="auto"/>
        <w:bottom w:val="none" w:sz="0" w:space="0" w:color="auto"/>
        <w:right w:val="none" w:sz="0" w:space="0" w:color="auto"/>
      </w:divBdr>
      <w:divsChild>
        <w:div w:id="1581982259">
          <w:marLeft w:val="0"/>
          <w:marRight w:val="0"/>
          <w:marTop w:val="0"/>
          <w:marBottom w:val="0"/>
          <w:divBdr>
            <w:top w:val="none" w:sz="0" w:space="0" w:color="auto"/>
            <w:left w:val="none" w:sz="0" w:space="0" w:color="auto"/>
            <w:bottom w:val="none" w:sz="0" w:space="0" w:color="auto"/>
            <w:right w:val="none" w:sz="0" w:space="0" w:color="auto"/>
          </w:divBdr>
        </w:div>
      </w:divsChild>
    </w:div>
    <w:div w:id="163054350">
      <w:bodyDiv w:val="1"/>
      <w:marLeft w:val="0"/>
      <w:marRight w:val="0"/>
      <w:marTop w:val="0"/>
      <w:marBottom w:val="0"/>
      <w:divBdr>
        <w:top w:val="none" w:sz="0" w:space="0" w:color="auto"/>
        <w:left w:val="none" w:sz="0" w:space="0" w:color="auto"/>
        <w:bottom w:val="none" w:sz="0" w:space="0" w:color="auto"/>
        <w:right w:val="none" w:sz="0" w:space="0" w:color="auto"/>
      </w:divBdr>
    </w:div>
    <w:div w:id="224875296">
      <w:bodyDiv w:val="1"/>
      <w:marLeft w:val="0"/>
      <w:marRight w:val="0"/>
      <w:marTop w:val="0"/>
      <w:marBottom w:val="0"/>
      <w:divBdr>
        <w:top w:val="none" w:sz="0" w:space="0" w:color="auto"/>
        <w:left w:val="none" w:sz="0" w:space="0" w:color="auto"/>
        <w:bottom w:val="none" w:sz="0" w:space="0" w:color="auto"/>
        <w:right w:val="none" w:sz="0" w:space="0" w:color="auto"/>
      </w:divBdr>
      <w:divsChild>
        <w:div w:id="531722024">
          <w:marLeft w:val="0"/>
          <w:marRight w:val="0"/>
          <w:marTop w:val="0"/>
          <w:marBottom w:val="0"/>
          <w:divBdr>
            <w:top w:val="none" w:sz="0" w:space="0" w:color="auto"/>
            <w:left w:val="none" w:sz="0" w:space="0" w:color="auto"/>
            <w:bottom w:val="none" w:sz="0" w:space="0" w:color="auto"/>
            <w:right w:val="none" w:sz="0" w:space="0" w:color="auto"/>
          </w:divBdr>
        </w:div>
      </w:divsChild>
    </w:div>
    <w:div w:id="304091322">
      <w:bodyDiv w:val="1"/>
      <w:marLeft w:val="0"/>
      <w:marRight w:val="0"/>
      <w:marTop w:val="0"/>
      <w:marBottom w:val="0"/>
      <w:divBdr>
        <w:top w:val="none" w:sz="0" w:space="0" w:color="auto"/>
        <w:left w:val="none" w:sz="0" w:space="0" w:color="auto"/>
        <w:bottom w:val="none" w:sz="0" w:space="0" w:color="auto"/>
        <w:right w:val="none" w:sz="0" w:space="0" w:color="auto"/>
      </w:divBdr>
      <w:divsChild>
        <w:div w:id="881943686">
          <w:marLeft w:val="0"/>
          <w:marRight w:val="0"/>
          <w:marTop w:val="0"/>
          <w:marBottom w:val="0"/>
          <w:divBdr>
            <w:top w:val="none" w:sz="0" w:space="0" w:color="auto"/>
            <w:left w:val="none" w:sz="0" w:space="0" w:color="auto"/>
            <w:bottom w:val="none" w:sz="0" w:space="0" w:color="auto"/>
            <w:right w:val="none" w:sz="0" w:space="0" w:color="auto"/>
          </w:divBdr>
        </w:div>
      </w:divsChild>
    </w:div>
    <w:div w:id="344131856">
      <w:bodyDiv w:val="1"/>
      <w:marLeft w:val="0"/>
      <w:marRight w:val="0"/>
      <w:marTop w:val="0"/>
      <w:marBottom w:val="0"/>
      <w:divBdr>
        <w:top w:val="none" w:sz="0" w:space="0" w:color="auto"/>
        <w:left w:val="none" w:sz="0" w:space="0" w:color="auto"/>
        <w:bottom w:val="none" w:sz="0" w:space="0" w:color="auto"/>
        <w:right w:val="none" w:sz="0" w:space="0" w:color="auto"/>
      </w:divBdr>
      <w:divsChild>
        <w:div w:id="1122307677">
          <w:marLeft w:val="0"/>
          <w:marRight w:val="0"/>
          <w:marTop w:val="0"/>
          <w:marBottom w:val="0"/>
          <w:divBdr>
            <w:top w:val="none" w:sz="0" w:space="0" w:color="auto"/>
            <w:left w:val="none" w:sz="0" w:space="0" w:color="auto"/>
            <w:bottom w:val="none" w:sz="0" w:space="0" w:color="auto"/>
            <w:right w:val="none" w:sz="0" w:space="0" w:color="auto"/>
          </w:divBdr>
        </w:div>
      </w:divsChild>
    </w:div>
    <w:div w:id="352651032">
      <w:bodyDiv w:val="1"/>
      <w:marLeft w:val="0"/>
      <w:marRight w:val="0"/>
      <w:marTop w:val="0"/>
      <w:marBottom w:val="0"/>
      <w:divBdr>
        <w:top w:val="none" w:sz="0" w:space="0" w:color="auto"/>
        <w:left w:val="none" w:sz="0" w:space="0" w:color="auto"/>
        <w:bottom w:val="none" w:sz="0" w:space="0" w:color="auto"/>
        <w:right w:val="none" w:sz="0" w:space="0" w:color="auto"/>
      </w:divBdr>
      <w:divsChild>
        <w:div w:id="1639801730">
          <w:marLeft w:val="0"/>
          <w:marRight w:val="0"/>
          <w:marTop w:val="0"/>
          <w:marBottom w:val="0"/>
          <w:divBdr>
            <w:top w:val="none" w:sz="0" w:space="0" w:color="auto"/>
            <w:left w:val="none" w:sz="0" w:space="0" w:color="auto"/>
            <w:bottom w:val="none" w:sz="0" w:space="0" w:color="auto"/>
            <w:right w:val="none" w:sz="0" w:space="0" w:color="auto"/>
          </w:divBdr>
        </w:div>
      </w:divsChild>
    </w:div>
    <w:div w:id="557591635">
      <w:bodyDiv w:val="1"/>
      <w:marLeft w:val="0"/>
      <w:marRight w:val="0"/>
      <w:marTop w:val="0"/>
      <w:marBottom w:val="0"/>
      <w:divBdr>
        <w:top w:val="none" w:sz="0" w:space="0" w:color="auto"/>
        <w:left w:val="none" w:sz="0" w:space="0" w:color="auto"/>
        <w:bottom w:val="none" w:sz="0" w:space="0" w:color="auto"/>
        <w:right w:val="none" w:sz="0" w:space="0" w:color="auto"/>
      </w:divBdr>
      <w:divsChild>
        <w:div w:id="917590309">
          <w:marLeft w:val="0"/>
          <w:marRight w:val="0"/>
          <w:marTop w:val="0"/>
          <w:marBottom w:val="0"/>
          <w:divBdr>
            <w:top w:val="none" w:sz="0" w:space="0" w:color="auto"/>
            <w:left w:val="none" w:sz="0" w:space="0" w:color="auto"/>
            <w:bottom w:val="none" w:sz="0" w:space="0" w:color="auto"/>
            <w:right w:val="none" w:sz="0" w:space="0" w:color="auto"/>
          </w:divBdr>
        </w:div>
      </w:divsChild>
    </w:div>
    <w:div w:id="580336153">
      <w:bodyDiv w:val="1"/>
      <w:marLeft w:val="0"/>
      <w:marRight w:val="0"/>
      <w:marTop w:val="0"/>
      <w:marBottom w:val="0"/>
      <w:divBdr>
        <w:top w:val="none" w:sz="0" w:space="0" w:color="auto"/>
        <w:left w:val="none" w:sz="0" w:space="0" w:color="auto"/>
        <w:bottom w:val="none" w:sz="0" w:space="0" w:color="auto"/>
        <w:right w:val="none" w:sz="0" w:space="0" w:color="auto"/>
      </w:divBdr>
    </w:div>
    <w:div w:id="591861119">
      <w:bodyDiv w:val="1"/>
      <w:marLeft w:val="0"/>
      <w:marRight w:val="0"/>
      <w:marTop w:val="0"/>
      <w:marBottom w:val="0"/>
      <w:divBdr>
        <w:top w:val="none" w:sz="0" w:space="0" w:color="auto"/>
        <w:left w:val="none" w:sz="0" w:space="0" w:color="auto"/>
        <w:bottom w:val="none" w:sz="0" w:space="0" w:color="auto"/>
        <w:right w:val="none" w:sz="0" w:space="0" w:color="auto"/>
      </w:divBdr>
      <w:divsChild>
        <w:div w:id="1765567763">
          <w:marLeft w:val="0"/>
          <w:marRight w:val="0"/>
          <w:marTop w:val="0"/>
          <w:marBottom w:val="0"/>
          <w:divBdr>
            <w:top w:val="none" w:sz="0" w:space="0" w:color="auto"/>
            <w:left w:val="none" w:sz="0" w:space="0" w:color="auto"/>
            <w:bottom w:val="none" w:sz="0" w:space="0" w:color="auto"/>
            <w:right w:val="none" w:sz="0" w:space="0" w:color="auto"/>
          </w:divBdr>
        </w:div>
      </w:divsChild>
    </w:div>
    <w:div w:id="704403427">
      <w:bodyDiv w:val="1"/>
      <w:marLeft w:val="0"/>
      <w:marRight w:val="0"/>
      <w:marTop w:val="0"/>
      <w:marBottom w:val="0"/>
      <w:divBdr>
        <w:top w:val="none" w:sz="0" w:space="0" w:color="auto"/>
        <w:left w:val="none" w:sz="0" w:space="0" w:color="auto"/>
        <w:bottom w:val="none" w:sz="0" w:space="0" w:color="auto"/>
        <w:right w:val="none" w:sz="0" w:space="0" w:color="auto"/>
      </w:divBdr>
      <w:divsChild>
        <w:div w:id="86585262">
          <w:marLeft w:val="0"/>
          <w:marRight w:val="0"/>
          <w:marTop w:val="0"/>
          <w:marBottom w:val="0"/>
          <w:divBdr>
            <w:top w:val="none" w:sz="0" w:space="0" w:color="auto"/>
            <w:left w:val="none" w:sz="0" w:space="0" w:color="auto"/>
            <w:bottom w:val="none" w:sz="0" w:space="0" w:color="auto"/>
            <w:right w:val="none" w:sz="0" w:space="0" w:color="auto"/>
          </w:divBdr>
        </w:div>
      </w:divsChild>
    </w:div>
    <w:div w:id="744376300">
      <w:bodyDiv w:val="1"/>
      <w:marLeft w:val="0"/>
      <w:marRight w:val="0"/>
      <w:marTop w:val="0"/>
      <w:marBottom w:val="0"/>
      <w:divBdr>
        <w:top w:val="none" w:sz="0" w:space="0" w:color="auto"/>
        <w:left w:val="none" w:sz="0" w:space="0" w:color="auto"/>
        <w:bottom w:val="none" w:sz="0" w:space="0" w:color="auto"/>
        <w:right w:val="none" w:sz="0" w:space="0" w:color="auto"/>
      </w:divBdr>
      <w:divsChild>
        <w:div w:id="1193686851">
          <w:marLeft w:val="0"/>
          <w:marRight w:val="0"/>
          <w:marTop w:val="0"/>
          <w:marBottom w:val="0"/>
          <w:divBdr>
            <w:top w:val="none" w:sz="0" w:space="0" w:color="auto"/>
            <w:left w:val="none" w:sz="0" w:space="0" w:color="auto"/>
            <w:bottom w:val="none" w:sz="0" w:space="0" w:color="auto"/>
            <w:right w:val="none" w:sz="0" w:space="0" w:color="auto"/>
          </w:divBdr>
        </w:div>
      </w:divsChild>
    </w:div>
    <w:div w:id="832257197">
      <w:bodyDiv w:val="1"/>
      <w:marLeft w:val="0"/>
      <w:marRight w:val="0"/>
      <w:marTop w:val="0"/>
      <w:marBottom w:val="0"/>
      <w:divBdr>
        <w:top w:val="none" w:sz="0" w:space="0" w:color="auto"/>
        <w:left w:val="none" w:sz="0" w:space="0" w:color="auto"/>
        <w:bottom w:val="none" w:sz="0" w:space="0" w:color="auto"/>
        <w:right w:val="none" w:sz="0" w:space="0" w:color="auto"/>
      </w:divBdr>
      <w:divsChild>
        <w:div w:id="807163141">
          <w:marLeft w:val="0"/>
          <w:marRight w:val="0"/>
          <w:marTop w:val="0"/>
          <w:marBottom w:val="0"/>
          <w:divBdr>
            <w:top w:val="none" w:sz="0" w:space="0" w:color="auto"/>
            <w:left w:val="none" w:sz="0" w:space="0" w:color="auto"/>
            <w:bottom w:val="none" w:sz="0" w:space="0" w:color="auto"/>
            <w:right w:val="none" w:sz="0" w:space="0" w:color="auto"/>
          </w:divBdr>
        </w:div>
      </w:divsChild>
    </w:div>
    <w:div w:id="919607267">
      <w:bodyDiv w:val="1"/>
      <w:marLeft w:val="0"/>
      <w:marRight w:val="0"/>
      <w:marTop w:val="0"/>
      <w:marBottom w:val="0"/>
      <w:divBdr>
        <w:top w:val="none" w:sz="0" w:space="0" w:color="auto"/>
        <w:left w:val="none" w:sz="0" w:space="0" w:color="auto"/>
        <w:bottom w:val="none" w:sz="0" w:space="0" w:color="auto"/>
        <w:right w:val="none" w:sz="0" w:space="0" w:color="auto"/>
      </w:divBdr>
    </w:div>
    <w:div w:id="1056051277">
      <w:bodyDiv w:val="1"/>
      <w:marLeft w:val="0"/>
      <w:marRight w:val="0"/>
      <w:marTop w:val="0"/>
      <w:marBottom w:val="0"/>
      <w:divBdr>
        <w:top w:val="none" w:sz="0" w:space="0" w:color="auto"/>
        <w:left w:val="none" w:sz="0" w:space="0" w:color="auto"/>
        <w:bottom w:val="none" w:sz="0" w:space="0" w:color="auto"/>
        <w:right w:val="none" w:sz="0" w:space="0" w:color="auto"/>
      </w:divBdr>
      <w:divsChild>
        <w:div w:id="1461462387">
          <w:marLeft w:val="0"/>
          <w:marRight w:val="75"/>
          <w:marTop w:val="0"/>
          <w:marBottom w:val="0"/>
          <w:divBdr>
            <w:top w:val="none" w:sz="0" w:space="0" w:color="auto"/>
            <w:left w:val="none" w:sz="0" w:space="0" w:color="auto"/>
            <w:bottom w:val="none" w:sz="0" w:space="0" w:color="auto"/>
            <w:right w:val="none" w:sz="0" w:space="0" w:color="auto"/>
          </w:divBdr>
        </w:div>
      </w:divsChild>
    </w:div>
    <w:div w:id="1114592750">
      <w:bodyDiv w:val="1"/>
      <w:marLeft w:val="0"/>
      <w:marRight w:val="0"/>
      <w:marTop w:val="0"/>
      <w:marBottom w:val="0"/>
      <w:divBdr>
        <w:top w:val="none" w:sz="0" w:space="0" w:color="auto"/>
        <w:left w:val="none" w:sz="0" w:space="0" w:color="auto"/>
        <w:bottom w:val="none" w:sz="0" w:space="0" w:color="auto"/>
        <w:right w:val="none" w:sz="0" w:space="0" w:color="auto"/>
      </w:divBdr>
      <w:divsChild>
        <w:div w:id="1829242795">
          <w:marLeft w:val="0"/>
          <w:marRight w:val="0"/>
          <w:marTop w:val="0"/>
          <w:marBottom w:val="0"/>
          <w:divBdr>
            <w:top w:val="none" w:sz="0" w:space="0" w:color="auto"/>
            <w:left w:val="none" w:sz="0" w:space="0" w:color="auto"/>
            <w:bottom w:val="none" w:sz="0" w:space="0" w:color="auto"/>
            <w:right w:val="none" w:sz="0" w:space="0" w:color="auto"/>
          </w:divBdr>
        </w:div>
      </w:divsChild>
    </w:div>
    <w:div w:id="1123383546">
      <w:bodyDiv w:val="1"/>
      <w:marLeft w:val="0"/>
      <w:marRight w:val="0"/>
      <w:marTop w:val="0"/>
      <w:marBottom w:val="0"/>
      <w:divBdr>
        <w:top w:val="none" w:sz="0" w:space="0" w:color="auto"/>
        <w:left w:val="none" w:sz="0" w:space="0" w:color="auto"/>
        <w:bottom w:val="none" w:sz="0" w:space="0" w:color="auto"/>
        <w:right w:val="none" w:sz="0" w:space="0" w:color="auto"/>
      </w:divBdr>
      <w:divsChild>
        <w:div w:id="363482689">
          <w:marLeft w:val="0"/>
          <w:marRight w:val="0"/>
          <w:marTop w:val="0"/>
          <w:marBottom w:val="0"/>
          <w:divBdr>
            <w:top w:val="none" w:sz="0" w:space="0" w:color="auto"/>
            <w:left w:val="none" w:sz="0" w:space="0" w:color="auto"/>
            <w:bottom w:val="none" w:sz="0" w:space="0" w:color="auto"/>
            <w:right w:val="none" w:sz="0" w:space="0" w:color="auto"/>
          </w:divBdr>
        </w:div>
      </w:divsChild>
    </w:div>
    <w:div w:id="1215388568">
      <w:bodyDiv w:val="1"/>
      <w:marLeft w:val="0"/>
      <w:marRight w:val="0"/>
      <w:marTop w:val="0"/>
      <w:marBottom w:val="0"/>
      <w:divBdr>
        <w:top w:val="none" w:sz="0" w:space="0" w:color="auto"/>
        <w:left w:val="none" w:sz="0" w:space="0" w:color="auto"/>
        <w:bottom w:val="none" w:sz="0" w:space="0" w:color="auto"/>
        <w:right w:val="none" w:sz="0" w:space="0" w:color="auto"/>
      </w:divBdr>
      <w:divsChild>
        <w:div w:id="421534430">
          <w:marLeft w:val="0"/>
          <w:marRight w:val="0"/>
          <w:marTop w:val="0"/>
          <w:marBottom w:val="0"/>
          <w:divBdr>
            <w:top w:val="none" w:sz="0" w:space="0" w:color="auto"/>
            <w:left w:val="none" w:sz="0" w:space="0" w:color="auto"/>
            <w:bottom w:val="none" w:sz="0" w:space="0" w:color="auto"/>
            <w:right w:val="none" w:sz="0" w:space="0" w:color="auto"/>
          </w:divBdr>
        </w:div>
      </w:divsChild>
    </w:div>
    <w:div w:id="1259872815">
      <w:bodyDiv w:val="1"/>
      <w:marLeft w:val="0"/>
      <w:marRight w:val="0"/>
      <w:marTop w:val="0"/>
      <w:marBottom w:val="0"/>
      <w:divBdr>
        <w:top w:val="none" w:sz="0" w:space="0" w:color="auto"/>
        <w:left w:val="none" w:sz="0" w:space="0" w:color="auto"/>
        <w:bottom w:val="none" w:sz="0" w:space="0" w:color="auto"/>
        <w:right w:val="none" w:sz="0" w:space="0" w:color="auto"/>
      </w:divBdr>
      <w:divsChild>
        <w:div w:id="2013486145">
          <w:marLeft w:val="0"/>
          <w:marRight w:val="0"/>
          <w:marTop w:val="0"/>
          <w:marBottom w:val="0"/>
          <w:divBdr>
            <w:top w:val="none" w:sz="0" w:space="0" w:color="auto"/>
            <w:left w:val="none" w:sz="0" w:space="0" w:color="auto"/>
            <w:bottom w:val="none" w:sz="0" w:space="0" w:color="auto"/>
            <w:right w:val="none" w:sz="0" w:space="0" w:color="auto"/>
          </w:divBdr>
          <w:divsChild>
            <w:div w:id="1451512534">
              <w:marLeft w:val="0"/>
              <w:marRight w:val="0"/>
              <w:marTop w:val="0"/>
              <w:marBottom w:val="0"/>
              <w:divBdr>
                <w:top w:val="none" w:sz="0" w:space="0" w:color="auto"/>
                <w:left w:val="none" w:sz="0" w:space="0" w:color="auto"/>
                <w:bottom w:val="none" w:sz="0" w:space="0" w:color="auto"/>
                <w:right w:val="none" w:sz="0" w:space="0" w:color="auto"/>
              </w:divBdr>
              <w:divsChild>
                <w:div w:id="1300185265">
                  <w:marLeft w:val="0"/>
                  <w:marRight w:val="0"/>
                  <w:marTop w:val="0"/>
                  <w:marBottom w:val="0"/>
                  <w:divBdr>
                    <w:top w:val="none" w:sz="0" w:space="0" w:color="auto"/>
                    <w:left w:val="none" w:sz="0" w:space="0" w:color="auto"/>
                    <w:bottom w:val="none" w:sz="0" w:space="0" w:color="auto"/>
                    <w:right w:val="none" w:sz="0" w:space="0" w:color="auto"/>
                  </w:divBdr>
                  <w:divsChild>
                    <w:div w:id="152405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274914">
      <w:bodyDiv w:val="1"/>
      <w:marLeft w:val="0"/>
      <w:marRight w:val="0"/>
      <w:marTop w:val="0"/>
      <w:marBottom w:val="0"/>
      <w:divBdr>
        <w:top w:val="none" w:sz="0" w:space="0" w:color="auto"/>
        <w:left w:val="none" w:sz="0" w:space="0" w:color="auto"/>
        <w:bottom w:val="none" w:sz="0" w:space="0" w:color="auto"/>
        <w:right w:val="none" w:sz="0" w:space="0" w:color="auto"/>
      </w:divBdr>
      <w:divsChild>
        <w:div w:id="1228227103">
          <w:marLeft w:val="0"/>
          <w:marRight w:val="0"/>
          <w:marTop w:val="0"/>
          <w:marBottom w:val="0"/>
          <w:divBdr>
            <w:top w:val="none" w:sz="0" w:space="0" w:color="auto"/>
            <w:left w:val="none" w:sz="0" w:space="0" w:color="auto"/>
            <w:bottom w:val="none" w:sz="0" w:space="0" w:color="auto"/>
            <w:right w:val="none" w:sz="0" w:space="0" w:color="auto"/>
          </w:divBdr>
        </w:div>
      </w:divsChild>
    </w:div>
    <w:div w:id="1333987946">
      <w:bodyDiv w:val="1"/>
      <w:marLeft w:val="0"/>
      <w:marRight w:val="0"/>
      <w:marTop w:val="0"/>
      <w:marBottom w:val="0"/>
      <w:divBdr>
        <w:top w:val="none" w:sz="0" w:space="0" w:color="auto"/>
        <w:left w:val="none" w:sz="0" w:space="0" w:color="auto"/>
        <w:bottom w:val="none" w:sz="0" w:space="0" w:color="auto"/>
        <w:right w:val="none" w:sz="0" w:space="0" w:color="auto"/>
      </w:divBdr>
      <w:divsChild>
        <w:div w:id="596520588">
          <w:marLeft w:val="0"/>
          <w:marRight w:val="0"/>
          <w:marTop w:val="0"/>
          <w:marBottom w:val="0"/>
          <w:divBdr>
            <w:top w:val="none" w:sz="0" w:space="0" w:color="auto"/>
            <w:left w:val="none" w:sz="0" w:space="0" w:color="auto"/>
            <w:bottom w:val="none" w:sz="0" w:space="0" w:color="auto"/>
            <w:right w:val="none" w:sz="0" w:space="0" w:color="auto"/>
          </w:divBdr>
        </w:div>
      </w:divsChild>
    </w:div>
    <w:div w:id="1337463015">
      <w:bodyDiv w:val="1"/>
      <w:marLeft w:val="0"/>
      <w:marRight w:val="0"/>
      <w:marTop w:val="0"/>
      <w:marBottom w:val="0"/>
      <w:divBdr>
        <w:top w:val="none" w:sz="0" w:space="0" w:color="auto"/>
        <w:left w:val="none" w:sz="0" w:space="0" w:color="auto"/>
        <w:bottom w:val="none" w:sz="0" w:space="0" w:color="auto"/>
        <w:right w:val="none" w:sz="0" w:space="0" w:color="auto"/>
      </w:divBdr>
      <w:divsChild>
        <w:div w:id="1832333818">
          <w:marLeft w:val="0"/>
          <w:marRight w:val="0"/>
          <w:marTop w:val="0"/>
          <w:marBottom w:val="0"/>
          <w:divBdr>
            <w:top w:val="none" w:sz="0" w:space="0" w:color="auto"/>
            <w:left w:val="none" w:sz="0" w:space="0" w:color="auto"/>
            <w:bottom w:val="none" w:sz="0" w:space="0" w:color="auto"/>
            <w:right w:val="none" w:sz="0" w:space="0" w:color="auto"/>
          </w:divBdr>
        </w:div>
      </w:divsChild>
    </w:div>
    <w:div w:id="1399940390">
      <w:bodyDiv w:val="1"/>
      <w:marLeft w:val="0"/>
      <w:marRight w:val="0"/>
      <w:marTop w:val="0"/>
      <w:marBottom w:val="0"/>
      <w:divBdr>
        <w:top w:val="none" w:sz="0" w:space="0" w:color="auto"/>
        <w:left w:val="none" w:sz="0" w:space="0" w:color="auto"/>
        <w:bottom w:val="none" w:sz="0" w:space="0" w:color="auto"/>
        <w:right w:val="none" w:sz="0" w:space="0" w:color="auto"/>
      </w:divBdr>
    </w:div>
    <w:div w:id="1410156193">
      <w:bodyDiv w:val="1"/>
      <w:marLeft w:val="0"/>
      <w:marRight w:val="0"/>
      <w:marTop w:val="0"/>
      <w:marBottom w:val="0"/>
      <w:divBdr>
        <w:top w:val="none" w:sz="0" w:space="0" w:color="auto"/>
        <w:left w:val="none" w:sz="0" w:space="0" w:color="auto"/>
        <w:bottom w:val="none" w:sz="0" w:space="0" w:color="auto"/>
        <w:right w:val="none" w:sz="0" w:space="0" w:color="auto"/>
      </w:divBdr>
      <w:divsChild>
        <w:div w:id="691151596">
          <w:marLeft w:val="0"/>
          <w:marRight w:val="0"/>
          <w:marTop w:val="0"/>
          <w:marBottom w:val="0"/>
          <w:divBdr>
            <w:top w:val="none" w:sz="0" w:space="0" w:color="auto"/>
            <w:left w:val="none" w:sz="0" w:space="0" w:color="auto"/>
            <w:bottom w:val="none" w:sz="0" w:space="0" w:color="auto"/>
            <w:right w:val="none" w:sz="0" w:space="0" w:color="auto"/>
          </w:divBdr>
          <w:divsChild>
            <w:div w:id="851650333">
              <w:marLeft w:val="0"/>
              <w:marRight w:val="0"/>
              <w:marTop w:val="0"/>
              <w:marBottom w:val="0"/>
              <w:divBdr>
                <w:top w:val="none" w:sz="0" w:space="0" w:color="auto"/>
                <w:left w:val="none" w:sz="0" w:space="0" w:color="auto"/>
                <w:bottom w:val="none" w:sz="0" w:space="0" w:color="auto"/>
                <w:right w:val="none" w:sz="0" w:space="0" w:color="auto"/>
              </w:divBdr>
              <w:divsChild>
                <w:div w:id="1504667086">
                  <w:marLeft w:val="0"/>
                  <w:marRight w:val="0"/>
                  <w:marTop w:val="0"/>
                  <w:marBottom w:val="0"/>
                  <w:divBdr>
                    <w:top w:val="none" w:sz="0" w:space="0" w:color="auto"/>
                    <w:left w:val="none" w:sz="0" w:space="0" w:color="auto"/>
                    <w:bottom w:val="none" w:sz="0" w:space="0" w:color="auto"/>
                    <w:right w:val="none" w:sz="0" w:space="0" w:color="auto"/>
                  </w:divBdr>
                  <w:divsChild>
                    <w:div w:id="190752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070434">
      <w:bodyDiv w:val="1"/>
      <w:marLeft w:val="0"/>
      <w:marRight w:val="0"/>
      <w:marTop w:val="0"/>
      <w:marBottom w:val="0"/>
      <w:divBdr>
        <w:top w:val="none" w:sz="0" w:space="0" w:color="auto"/>
        <w:left w:val="none" w:sz="0" w:space="0" w:color="auto"/>
        <w:bottom w:val="none" w:sz="0" w:space="0" w:color="auto"/>
        <w:right w:val="none" w:sz="0" w:space="0" w:color="auto"/>
      </w:divBdr>
      <w:divsChild>
        <w:div w:id="1496990830">
          <w:marLeft w:val="0"/>
          <w:marRight w:val="0"/>
          <w:marTop w:val="0"/>
          <w:marBottom w:val="0"/>
          <w:divBdr>
            <w:top w:val="none" w:sz="0" w:space="0" w:color="auto"/>
            <w:left w:val="none" w:sz="0" w:space="0" w:color="auto"/>
            <w:bottom w:val="none" w:sz="0" w:space="0" w:color="auto"/>
            <w:right w:val="none" w:sz="0" w:space="0" w:color="auto"/>
          </w:divBdr>
          <w:divsChild>
            <w:div w:id="1890261566">
              <w:marLeft w:val="0"/>
              <w:marRight w:val="0"/>
              <w:marTop w:val="0"/>
              <w:marBottom w:val="0"/>
              <w:divBdr>
                <w:top w:val="none" w:sz="0" w:space="0" w:color="auto"/>
                <w:left w:val="none" w:sz="0" w:space="0" w:color="auto"/>
                <w:bottom w:val="none" w:sz="0" w:space="0" w:color="auto"/>
                <w:right w:val="none" w:sz="0" w:space="0" w:color="auto"/>
              </w:divBdr>
              <w:divsChild>
                <w:div w:id="1772043184">
                  <w:marLeft w:val="0"/>
                  <w:marRight w:val="0"/>
                  <w:marTop w:val="0"/>
                  <w:marBottom w:val="0"/>
                  <w:divBdr>
                    <w:top w:val="none" w:sz="0" w:space="0" w:color="auto"/>
                    <w:left w:val="none" w:sz="0" w:space="0" w:color="auto"/>
                    <w:bottom w:val="none" w:sz="0" w:space="0" w:color="auto"/>
                    <w:right w:val="none" w:sz="0" w:space="0" w:color="auto"/>
                  </w:divBdr>
                  <w:divsChild>
                    <w:div w:id="19138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144965">
      <w:bodyDiv w:val="1"/>
      <w:marLeft w:val="0"/>
      <w:marRight w:val="0"/>
      <w:marTop w:val="0"/>
      <w:marBottom w:val="0"/>
      <w:divBdr>
        <w:top w:val="none" w:sz="0" w:space="0" w:color="auto"/>
        <w:left w:val="none" w:sz="0" w:space="0" w:color="auto"/>
        <w:bottom w:val="none" w:sz="0" w:space="0" w:color="auto"/>
        <w:right w:val="none" w:sz="0" w:space="0" w:color="auto"/>
      </w:divBdr>
      <w:divsChild>
        <w:div w:id="1753501504">
          <w:marLeft w:val="0"/>
          <w:marRight w:val="0"/>
          <w:marTop w:val="0"/>
          <w:marBottom w:val="0"/>
          <w:divBdr>
            <w:top w:val="none" w:sz="0" w:space="0" w:color="auto"/>
            <w:left w:val="none" w:sz="0" w:space="0" w:color="auto"/>
            <w:bottom w:val="none" w:sz="0" w:space="0" w:color="auto"/>
            <w:right w:val="none" w:sz="0" w:space="0" w:color="auto"/>
          </w:divBdr>
        </w:div>
      </w:divsChild>
    </w:div>
    <w:div w:id="1922371088">
      <w:bodyDiv w:val="1"/>
      <w:marLeft w:val="0"/>
      <w:marRight w:val="0"/>
      <w:marTop w:val="0"/>
      <w:marBottom w:val="0"/>
      <w:divBdr>
        <w:top w:val="none" w:sz="0" w:space="0" w:color="auto"/>
        <w:left w:val="none" w:sz="0" w:space="0" w:color="auto"/>
        <w:bottom w:val="none" w:sz="0" w:space="0" w:color="auto"/>
        <w:right w:val="none" w:sz="0" w:space="0" w:color="auto"/>
      </w:divBdr>
      <w:divsChild>
        <w:div w:id="444927410">
          <w:marLeft w:val="0"/>
          <w:marRight w:val="0"/>
          <w:marTop w:val="0"/>
          <w:marBottom w:val="0"/>
          <w:divBdr>
            <w:top w:val="none" w:sz="0" w:space="0" w:color="auto"/>
            <w:left w:val="none" w:sz="0" w:space="0" w:color="auto"/>
            <w:bottom w:val="none" w:sz="0" w:space="0" w:color="auto"/>
            <w:right w:val="none" w:sz="0" w:space="0" w:color="auto"/>
          </w:divBdr>
        </w:div>
      </w:divsChild>
    </w:div>
    <w:div w:id="1994797641">
      <w:bodyDiv w:val="1"/>
      <w:marLeft w:val="0"/>
      <w:marRight w:val="0"/>
      <w:marTop w:val="0"/>
      <w:marBottom w:val="0"/>
      <w:divBdr>
        <w:top w:val="none" w:sz="0" w:space="0" w:color="auto"/>
        <w:left w:val="none" w:sz="0" w:space="0" w:color="auto"/>
        <w:bottom w:val="none" w:sz="0" w:space="0" w:color="auto"/>
        <w:right w:val="none" w:sz="0" w:space="0" w:color="auto"/>
      </w:divBdr>
      <w:divsChild>
        <w:div w:id="1576162610">
          <w:marLeft w:val="0"/>
          <w:marRight w:val="0"/>
          <w:marTop w:val="0"/>
          <w:marBottom w:val="0"/>
          <w:divBdr>
            <w:top w:val="none" w:sz="0" w:space="0" w:color="auto"/>
            <w:left w:val="none" w:sz="0" w:space="0" w:color="auto"/>
            <w:bottom w:val="none" w:sz="0" w:space="0" w:color="auto"/>
            <w:right w:val="none" w:sz="0" w:space="0" w:color="auto"/>
          </w:divBdr>
          <w:divsChild>
            <w:div w:id="596910512">
              <w:marLeft w:val="0"/>
              <w:marRight w:val="0"/>
              <w:marTop w:val="0"/>
              <w:marBottom w:val="0"/>
              <w:divBdr>
                <w:top w:val="none" w:sz="0" w:space="0" w:color="auto"/>
                <w:left w:val="none" w:sz="0" w:space="0" w:color="auto"/>
                <w:bottom w:val="none" w:sz="0" w:space="0" w:color="auto"/>
                <w:right w:val="none" w:sz="0" w:space="0" w:color="auto"/>
              </w:divBdr>
              <w:divsChild>
                <w:div w:id="1233156195">
                  <w:marLeft w:val="0"/>
                  <w:marRight w:val="0"/>
                  <w:marTop w:val="0"/>
                  <w:marBottom w:val="0"/>
                  <w:divBdr>
                    <w:top w:val="none" w:sz="0" w:space="0" w:color="auto"/>
                    <w:left w:val="none" w:sz="0" w:space="0" w:color="auto"/>
                    <w:bottom w:val="none" w:sz="0" w:space="0" w:color="auto"/>
                    <w:right w:val="none" w:sz="0" w:space="0" w:color="auto"/>
                  </w:divBdr>
                  <w:divsChild>
                    <w:div w:id="43155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574298">
      <w:bodyDiv w:val="1"/>
      <w:marLeft w:val="0"/>
      <w:marRight w:val="0"/>
      <w:marTop w:val="0"/>
      <w:marBottom w:val="0"/>
      <w:divBdr>
        <w:top w:val="none" w:sz="0" w:space="0" w:color="auto"/>
        <w:left w:val="none" w:sz="0" w:space="0" w:color="auto"/>
        <w:bottom w:val="none" w:sz="0" w:space="0" w:color="auto"/>
        <w:right w:val="none" w:sz="0" w:space="0" w:color="auto"/>
      </w:divBdr>
      <w:divsChild>
        <w:div w:id="388655755">
          <w:marLeft w:val="0"/>
          <w:marRight w:val="0"/>
          <w:marTop w:val="0"/>
          <w:marBottom w:val="0"/>
          <w:divBdr>
            <w:top w:val="none" w:sz="0" w:space="0" w:color="auto"/>
            <w:left w:val="none" w:sz="0" w:space="0" w:color="auto"/>
            <w:bottom w:val="none" w:sz="0" w:space="0" w:color="auto"/>
            <w:right w:val="none" w:sz="0" w:space="0" w:color="auto"/>
          </w:divBdr>
        </w:div>
      </w:divsChild>
    </w:div>
    <w:div w:id="2081245703">
      <w:bodyDiv w:val="1"/>
      <w:marLeft w:val="0"/>
      <w:marRight w:val="0"/>
      <w:marTop w:val="0"/>
      <w:marBottom w:val="0"/>
      <w:divBdr>
        <w:top w:val="none" w:sz="0" w:space="0" w:color="auto"/>
        <w:left w:val="none" w:sz="0" w:space="0" w:color="auto"/>
        <w:bottom w:val="none" w:sz="0" w:space="0" w:color="auto"/>
        <w:right w:val="none" w:sz="0" w:space="0" w:color="auto"/>
      </w:divBdr>
      <w:divsChild>
        <w:div w:id="1181510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8C64-5077-461A-8628-D934FA2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3</Pages>
  <Words>893</Words>
  <Characters>5091</Characters>
  <Application>Microsoft Office Word</Application>
  <DocSecurity>0</DocSecurity>
  <Lines>42</Lines>
  <Paragraphs>11</Paragraphs>
  <ScaleCrop>false</ScaleCrop>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685</cp:revision>
  <dcterms:created xsi:type="dcterms:W3CDTF">2023-03-22T05:19:00Z</dcterms:created>
  <dcterms:modified xsi:type="dcterms:W3CDTF">2023-09-28T09:06:00Z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1140110522b11ee800055ae000055ae">
    <vt:lpwstr>CWMCDC9R2RpajpMRYk0JV8ddvYyk8bu5oxgmFYONGQzJJA/8zybtR70LlIegkN3odvruzV0t2IsupRjCMBaCOXrzw==</vt:lpwstr>
  </property>
  <property fmtid="{D5CDD505-2E9C-101B-9397-08002B2CF9AE}" pid="6" name="CWM3126c5c0522b11ee800055ae000055ae">
    <vt:lpwstr>CWMCDC9R2RpajpMRYk0JV8ddvYyk8bu5oxgmFYONGQzJJA/8zybtR70LlIegkN3odvruzV0t2IsupRjCMBaCOXrzw==</vt:lpwstr>
  </property>
  <property fmtid="{D5CDD505-2E9C-101B-9397-08002B2CF9AE}" pid="7" name="CWM6f3b6960522b11ee800055ae000055ae">
    <vt:lpwstr>CWMsc0q4VAXyFOf9zk4UAnespRgxaWCJaf7xJpEXxCEXdpWP2L/0MhQ+iXLmv7JodnZvimpCg6TYZ8UwMp92zD8kw==</vt:lpwstr>
  </property>
</Properties>
</file>